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449D" w14:textId="31A625E1" w:rsidR="00E81978" w:rsidRPr="00EA69D8" w:rsidRDefault="00000000">
      <w:pPr>
        <w:pStyle w:val="Title"/>
        <w:rPr>
          <w:b/>
          <w:bCs/>
        </w:rPr>
      </w:pPr>
      <w:sdt>
        <w:sdtPr>
          <w:rPr>
            <w:b/>
            <w:bCs/>
          </w:rPr>
          <w:alias w:val="Title:"/>
          <w:tag w:val="Title:"/>
          <w:id w:val="726351117"/>
          <w:placeholder>
            <w:docPart w:val="0F1F33EC7A3843B7B413577F6987F8E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B50F68">
            <w:rPr>
              <w:b/>
              <w:bCs/>
            </w:rPr>
            <w:t>Cloud Migration: Fundamentals and Challenges</w:t>
          </w:r>
        </w:sdtContent>
      </w:sdt>
    </w:p>
    <w:p w14:paraId="71501A6B" w14:textId="71AE9E37" w:rsidR="00B823AA" w:rsidRDefault="00EA69D8" w:rsidP="00B823AA">
      <w:pPr>
        <w:pStyle w:val="Title2"/>
      </w:pPr>
      <w:r>
        <w:t>Arthur H. Neumann</w:t>
      </w:r>
    </w:p>
    <w:p w14:paraId="4E05921D" w14:textId="776C8E5E" w:rsidR="00EA69D8" w:rsidRDefault="00EA69D8" w:rsidP="00EA69D8">
      <w:pPr>
        <w:pStyle w:val="Title2"/>
      </w:pPr>
      <w:r>
        <w:t>Carnegie Mellon University</w:t>
      </w:r>
      <w:r>
        <w:br/>
        <w:t>95-705 – Telecommunications Management</w:t>
      </w:r>
      <w:r>
        <w:br/>
        <w:t xml:space="preserve">Dr. </w:t>
      </w:r>
      <w:proofErr w:type="spellStart"/>
      <w:r>
        <w:t>Sakir</w:t>
      </w:r>
      <w:proofErr w:type="spellEnd"/>
      <w:r>
        <w:t xml:space="preserve"> </w:t>
      </w:r>
      <w:proofErr w:type="spellStart"/>
      <w:r>
        <w:t>Yucel</w:t>
      </w:r>
      <w:proofErr w:type="spellEnd"/>
    </w:p>
    <w:p w14:paraId="29125D7A" w14:textId="1BFAC0B0" w:rsidR="00E81978" w:rsidRDefault="00EA69D8" w:rsidP="00EA69D8">
      <w:pPr>
        <w:pStyle w:val="Title2"/>
        <w:spacing w:line="480" w:lineRule="auto"/>
      </w:pPr>
      <w:r>
        <w:t>July 30, 2022</w:t>
      </w:r>
      <w:r>
        <w:br/>
      </w:r>
    </w:p>
    <w:p w14:paraId="4098ECA8" w14:textId="7D6C2DBC" w:rsidR="00E81978" w:rsidRDefault="00166106">
      <w:pPr>
        <w:pStyle w:val="Title"/>
      </w:pPr>
      <w:r w:rsidRPr="00170EA1">
        <w:rPr>
          <w:rFonts w:ascii="Times New Roman" w:eastAsia="Times New Roman" w:hAnsi="Times New Roman" w:cs="Times New Roman"/>
          <w:noProof/>
        </w:rPr>
        <w:drawing>
          <wp:inline distT="0" distB="0" distL="0" distR="0" wp14:anchorId="3A239383" wp14:editId="01DED924">
            <wp:extent cx="2489200" cy="639316"/>
            <wp:effectExtent l="0" t="0" r="0" b="0"/>
            <wp:docPr id="1" name="Picture 1" descr="Image result for carnegie mellon heinz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negie mellon heinz colle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0768" cy="639719"/>
                    </a:xfrm>
                    <a:prstGeom prst="rect">
                      <a:avLst/>
                    </a:prstGeom>
                    <a:noFill/>
                    <a:ln>
                      <a:noFill/>
                    </a:ln>
                  </pic:spPr>
                </pic:pic>
              </a:graphicData>
            </a:graphic>
          </wp:inline>
        </w:drawing>
      </w:r>
    </w:p>
    <w:p w14:paraId="45BBD2FB" w14:textId="4160178A" w:rsidR="00E81978" w:rsidRDefault="00E81978" w:rsidP="00B823AA">
      <w:pPr>
        <w:pStyle w:val="Title2"/>
      </w:pPr>
    </w:p>
    <w:p w14:paraId="5199BAE1" w14:textId="19D21D45" w:rsidR="00E81978" w:rsidRDefault="0000515D">
      <w:pPr>
        <w:pStyle w:val="SectionTitle"/>
      </w:pPr>
      <w:bookmarkStart w:id="0" w:name="_Toc110602297"/>
      <w:r>
        <w:lastRenderedPageBreak/>
        <w:t>Executive Summary</w:t>
      </w:r>
      <w:bookmarkEnd w:id="0"/>
    </w:p>
    <w:p w14:paraId="11A31F76" w14:textId="2F7A0555" w:rsidR="00E81978" w:rsidRDefault="00E81978">
      <w:pPr>
        <w:pStyle w:val="NoSpacing"/>
      </w:pPr>
    </w:p>
    <w:p w14:paraId="177F1EEB" w14:textId="2A4BDD45" w:rsidR="00342789" w:rsidRDefault="001D4B45" w:rsidP="00041F05">
      <w:r>
        <w:t xml:space="preserve">Managing information technology (IT) services </w:t>
      </w:r>
      <w:r w:rsidR="00C941B8">
        <w:t>can be a</w:t>
      </w:r>
      <w:r>
        <w:t xml:space="preserve"> costly endeavor. </w:t>
      </w:r>
      <w:r w:rsidR="00C941B8">
        <w:t>For</w:t>
      </w:r>
      <w:r w:rsidR="00BA6080">
        <w:t xml:space="preserve"> small</w:t>
      </w:r>
      <w:r w:rsidR="00B40AF7">
        <w:t xml:space="preserve"> businesses</w:t>
      </w:r>
      <w:r>
        <w:t xml:space="preserve"> </w:t>
      </w:r>
      <w:r w:rsidR="00BA6080">
        <w:t xml:space="preserve">to multi-national </w:t>
      </w:r>
      <w:r w:rsidR="00B40AF7">
        <w:t>corporations</w:t>
      </w:r>
      <w:r w:rsidR="00BA6080">
        <w:t>,</w:t>
      </w:r>
      <w:r w:rsidR="00B40AF7">
        <w:t xml:space="preserve"> funding and managing</w:t>
      </w:r>
      <w:r w:rsidR="00183352">
        <w:t xml:space="preserve"> </w:t>
      </w:r>
      <w:r w:rsidR="00B40AF7">
        <w:t xml:space="preserve">IT operations can often divert </w:t>
      </w:r>
      <w:r w:rsidR="00C941B8">
        <w:t xml:space="preserve">critical </w:t>
      </w:r>
      <w:r w:rsidR="00B40AF7">
        <w:t>organizational resources away from the primary business focus.</w:t>
      </w:r>
      <w:r w:rsidR="00C941B8" w:rsidRPr="00C941B8">
        <w:t xml:space="preserve"> </w:t>
      </w:r>
      <w:r w:rsidR="00C941B8">
        <w:t>Balancing IT requirements</w:t>
      </w:r>
      <w:r>
        <w:t xml:space="preserve"> </w:t>
      </w:r>
      <w:r w:rsidR="00C941B8">
        <w:t>with business needs remains</w:t>
      </w:r>
      <w:r>
        <w:t xml:space="preserve"> </w:t>
      </w:r>
      <w:r w:rsidR="00C941B8">
        <w:t xml:space="preserve">a </w:t>
      </w:r>
      <w:r>
        <w:t>significant challenge for many organizations</w:t>
      </w:r>
      <w:r w:rsidR="00342789">
        <w:t>.</w:t>
      </w:r>
      <w:r w:rsidR="00E61422">
        <w:t xml:space="preserve"> Fortunately, as</w:t>
      </w:r>
      <w:r w:rsidR="001751B6">
        <w:t xml:space="preserve"> technology has improved</w:t>
      </w:r>
      <w:r w:rsidR="00E61422">
        <w:t xml:space="preserve">, cloud </w:t>
      </w:r>
      <w:r w:rsidR="00BF0BAA">
        <w:t xml:space="preserve">services have become </w:t>
      </w:r>
      <w:r w:rsidR="00C941B8">
        <w:t>a viable alternative to in-house IT systems</w:t>
      </w:r>
      <w:r w:rsidR="003A2B69">
        <w:t>, allowing</w:t>
      </w:r>
      <w:r w:rsidR="00BF0BAA">
        <w:t xml:space="preserve"> organizations to purchase customized environments </w:t>
      </w:r>
      <w:r w:rsidR="003A2B69">
        <w:t xml:space="preserve">tailored to their needs. Furthermore, cloud environments have enabled organizations to expand and contract rapidly </w:t>
      </w:r>
      <w:r w:rsidR="00C75E53">
        <w:t>to support</w:t>
      </w:r>
      <w:r w:rsidR="003A2B69">
        <w:t xml:space="preserve"> business requirements. </w:t>
      </w:r>
      <w:r w:rsidR="00AB60E8">
        <w:t>With the COVID-19 pandemic and rising inflation, many businesses are looking to save in any way they can, and substantial investments are being made in the cloud computing market</w:t>
      </w:r>
      <w:r w:rsidR="00C75E53">
        <w:t xml:space="preserve"> to reduce the costs of hosting IT infrastructure internally</w:t>
      </w:r>
      <w:r w:rsidR="00AB60E8">
        <w:t>.</w:t>
      </w:r>
    </w:p>
    <w:p w14:paraId="39FA9D8D" w14:textId="236BF215" w:rsidR="00E81978" w:rsidRDefault="00501028" w:rsidP="00041F05">
      <w:r>
        <w:t xml:space="preserve">Organizations looking to take advantage of cloud services must </w:t>
      </w:r>
      <w:r w:rsidR="00C46646">
        <w:t>first understand what cloud computing is and what it is not</w:t>
      </w:r>
      <w:r w:rsidR="00F85DCB">
        <w:t xml:space="preserve">. This paper </w:t>
      </w:r>
      <w:r w:rsidR="0032290D">
        <w:t>provides a high-level overview of cloud terminology and functionality</w:t>
      </w:r>
      <w:r w:rsidR="00B157F2">
        <w:t xml:space="preserve">, </w:t>
      </w:r>
      <w:r w:rsidR="00F85DCB">
        <w:t xml:space="preserve">discusses </w:t>
      </w:r>
      <w:r w:rsidR="00C46646">
        <w:t>how to p</w:t>
      </w:r>
      <w:r w:rsidR="00727CA1">
        <w:t>lan a cloud migration properly</w:t>
      </w:r>
      <w:r w:rsidR="00B157F2">
        <w:t>,</w:t>
      </w:r>
      <w:r w:rsidR="00F85DCB">
        <w:t xml:space="preserve"> outlines</w:t>
      </w:r>
      <w:r w:rsidR="002E2AA9">
        <w:t xml:space="preserve"> </w:t>
      </w:r>
      <w:r w:rsidR="00F85DCB">
        <w:t xml:space="preserve">how to identify the requirements for cloud migration and select an </w:t>
      </w:r>
      <w:r w:rsidR="002E2AA9">
        <w:t xml:space="preserve">architecture </w:t>
      </w:r>
      <w:r w:rsidR="00F85DCB">
        <w:t>based upon organizational business need</w:t>
      </w:r>
      <w:r w:rsidR="00B157F2">
        <w:t xml:space="preserve">s, </w:t>
      </w:r>
      <w:r w:rsidR="00ED0CE5">
        <w:t xml:space="preserve">and </w:t>
      </w:r>
      <w:r w:rsidR="00B157F2">
        <w:t>i</w:t>
      </w:r>
      <w:r w:rsidR="0032290D">
        <w:t>dentifies common</w:t>
      </w:r>
      <w:r w:rsidR="002E2AA9">
        <w:t xml:space="preserve"> migration activities</w:t>
      </w:r>
      <w:r w:rsidR="00ED0CE5">
        <w:t xml:space="preserve">, challenges and mitigations. While this paper outlines core requirements for designing a cloud migration, it does not provide </w:t>
      </w:r>
      <w:r w:rsidR="00A352A8">
        <w:t>specific</w:t>
      </w:r>
      <w:r w:rsidR="00ED0CE5">
        <w:t xml:space="preserve"> </w:t>
      </w:r>
      <w:r w:rsidR="00AB60E8">
        <w:t>cloud technology</w:t>
      </w:r>
      <w:r w:rsidR="00A352A8">
        <w:t xml:space="preserve"> recommendations</w:t>
      </w:r>
      <w:r w:rsidR="002A1685">
        <w:t xml:space="preserve">. Instead, it </w:t>
      </w:r>
      <w:r w:rsidR="00C941B8">
        <w:t>aims to provide</w:t>
      </w:r>
      <w:r w:rsidR="002A1685">
        <w:t xml:space="preserve"> a management-level understanding of the</w:t>
      </w:r>
      <w:r w:rsidR="00A352A8">
        <w:t xml:space="preserve"> effort associated with cloud migration projects</w:t>
      </w:r>
      <w:r w:rsidR="00AB60E8">
        <w:t xml:space="preserve">. </w:t>
      </w:r>
    </w:p>
    <w:p w14:paraId="6876FEEA" w14:textId="7F9927F9" w:rsidR="00AB60E8" w:rsidRDefault="00A352A8" w:rsidP="00041F05">
      <w:r>
        <w:t>Before undertaking a cloud migration project, o</w:t>
      </w:r>
      <w:r w:rsidR="0058368C">
        <w:t xml:space="preserve">rganizations </w:t>
      </w:r>
      <w:r>
        <w:t xml:space="preserve">must </w:t>
      </w:r>
      <w:r w:rsidR="0058368C">
        <w:t>understand</w:t>
      </w:r>
      <w:r>
        <w:t xml:space="preserve"> the available</w:t>
      </w:r>
      <w:r w:rsidR="0058368C">
        <w:t xml:space="preserve"> solutions</w:t>
      </w:r>
      <w:r w:rsidR="00870E77">
        <w:t xml:space="preserve"> and</w:t>
      </w:r>
      <w:r>
        <w:t xml:space="preserve"> use a well-informed decision-making process to de</w:t>
      </w:r>
      <w:r w:rsidR="00870E77">
        <w:t xml:space="preserve">cide </w:t>
      </w:r>
      <w:r w:rsidR="00FB5710">
        <w:t>whether cloud-based</w:t>
      </w:r>
      <w:r w:rsidR="00870E77">
        <w:t xml:space="preserve"> IT services can help them achieve </w:t>
      </w:r>
      <w:r w:rsidR="00C75E53">
        <w:t xml:space="preserve">their </w:t>
      </w:r>
      <w:r w:rsidR="00870E77">
        <w:t xml:space="preserve">business goals and reduce </w:t>
      </w:r>
      <w:r w:rsidR="00CB0153">
        <w:t xml:space="preserve">IT </w:t>
      </w:r>
      <w:r w:rsidR="00870E77">
        <w:t>costs</w:t>
      </w:r>
      <w:r>
        <w:t>. O</w:t>
      </w:r>
      <w:r w:rsidR="00870E77">
        <w:t xml:space="preserve">rganizations </w:t>
      </w:r>
      <w:r>
        <w:t xml:space="preserve">electing to implement a cloud strategy </w:t>
      </w:r>
      <w:r w:rsidR="00870E77">
        <w:t>must embark on a complex process of planning, designing, and implementing a cloud strategy</w:t>
      </w:r>
      <w:r w:rsidR="002A1685">
        <w:t xml:space="preserve">. Before beginning a migration effort, </w:t>
      </w:r>
      <w:r w:rsidR="003763FC">
        <w:t>organizations must</w:t>
      </w:r>
      <w:r w:rsidR="002A1685">
        <w:t xml:space="preserve"> </w:t>
      </w:r>
      <w:r>
        <w:t xml:space="preserve">understand the </w:t>
      </w:r>
      <w:r w:rsidR="002A1685">
        <w:t>significant</w:t>
      </w:r>
      <w:r>
        <w:t xml:space="preserve"> concerns and challenges of cloud implementations and ensure that sufficient resources are allocated to </w:t>
      </w:r>
      <w:r w:rsidR="006C78E0">
        <w:t>successfully address</w:t>
      </w:r>
      <w:r w:rsidR="008C4967">
        <w:t xml:space="preserve"> each challenge and </w:t>
      </w:r>
      <w:r>
        <w:t xml:space="preserve">ensure the </w:t>
      </w:r>
      <w:r w:rsidR="00000AA6">
        <w:t xml:space="preserve">overall </w:t>
      </w:r>
      <w:r>
        <w:t>success of the migration process.</w:t>
      </w:r>
    </w:p>
    <w:p w14:paraId="52168348" w14:textId="68ABD1ED" w:rsidR="00E14AF2" w:rsidRDefault="00E14AF2">
      <w:pPr>
        <w:spacing w:line="480" w:lineRule="auto"/>
      </w:pPr>
      <w:r>
        <w:br w:type="page"/>
      </w:r>
    </w:p>
    <w:sdt>
      <w:sdtPr>
        <w:rPr>
          <w:rFonts w:asciiTheme="minorHAnsi" w:eastAsiaTheme="minorEastAsia" w:hAnsiTheme="minorHAnsi" w:cstheme="minorBidi"/>
          <w:b w:val="0"/>
          <w:szCs w:val="24"/>
        </w:rPr>
        <w:id w:val="963542440"/>
        <w:docPartObj>
          <w:docPartGallery w:val="Table of Contents"/>
          <w:docPartUnique/>
        </w:docPartObj>
      </w:sdtPr>
      <w:sdtEndPr>
        <w:rPr>
          <w:bCs/>
          <w:noProof/>
        </w:rPr>
      </w:sdtEndPr>
      <w:sdtContent>
        <w:p w14:paraId="4672B117" w14:textId="2CA04D04" w:rsidR="00F0205D" w:rsidRDefault="00F0205D" w:rsidP="00016474">
          <w:pPr>
            <w:pStyle w:val="TOCHeading"/>
            <w:spacing w:line="240" w:lineRule="auto"/>
          </w:pPr>
          <w:r>
            <w:t>Table of Contents</w:t>
          </w:r>
        </w:p>
        <w:p w14:paraId="1AC6B970" w14:textId="388B9662" w:rsidR="00DA2B5D" w:rsidRDefault="00F0205D" w:rsidP="00DA2B5D">
          <w:pPr>
            <w:pStyle w:val="TOC1"/>
            <w:rPr>
              <w:noProof/>
              <w:kern w:val="0"/>
              <w:sz w:val="22"/>
              <w:szCs w:val="22"/>
              <w:lang w:eastAsia="en-US"/>
            </w:rPr>
          </w:pPr>
          <w:r>
            <w:fldChar w:fldCharType="begin"/>
          </w:r>
          <w:r>
            <w:instrText xml:space="preserve"> TOC \o "1-3" \h \z \u </w:instrText>
          </w:r>
          <w:r>
            <w:fldChar w:fldCharType="separate"/>
          </w:r>
          <w:hyperlink w:anchor="_Toc110602297" w:history="1">
            <w:r w:rsidR="00DA2B5D" w:rsidRPr="00E118A8">
              <w:rPr>
                <w:rStyle w:val="Hyperlink"/>
                <w:noProof/>
              </w:rPr>
              <w:t>Executive Summary</w:t>
            </w:r>
            <w:r w:rsidR="00DA2B5D">
              <w:rPr>
                <w:noProof/>
                <w:webHidden/>
              </w:rPr>
              <w:tab/>
            </w:r>
            <w:r w:rsidR="00DA2B5D">
              <w:rPr>
                <w:noProof/>
                <w:webHidden/>
              </w:rPr>
              <w:fldChar w:fldCharType="begin"/>
            </w:r>
            <w:r w:rsidR="00DA2B5D">
              <w:rPr>
                <w:noProof/>
                <w:webHidden/>
              </w:rPr>
              <w:instrText xml:space="preserve"> PAGEREF _Toc110602297 \h </w:instrText>
            </w:r>
            <w:r w:rsidR="00DA2B5D">
              <w:rPr>
                <w:noProof/>
                <w:webHidden/>
              </w:rPr>
            </w:r>
            <w:r w:rsidR="00DA2B5D">
              <w:rPr>
                <w:noProof/>
                <w:webHidden/>
              </w:rPr>
              <w:fldChar w:fldCharType="separate"/>
            </w:r>
            <w:r w:rsidR="006478EE">
              <w:rPr>
                <w:noProof/>
                <w:webHidden/>
              </w:rPr>
              <w:t>2</w:t>
            </w:r>
            <w:r w:rsidR="00DA2B5D">
              <w:rPr>
                <w:noProof/>
                <w:webHidden/>
              </w:rPr>
              <w:fldChar w:fldCharType="end"/>
            </w:r>
          </w:hyperlink>
        </w:p>
        <w:p w14:paraId="54C4AFAA" w14:textId="420528DD" w:rsidR="00DA2B5D" w:rsidRDefault="00000000" w:rsidP="00DA2B5D">
          <w:pPr>
            <w:pStyle w:val="TOC1"/>
            <w:rPr>
              <w:noProof/>
              <w:kern w:val="0"/>
              <w:sz w:val="22"/>
              <w:szCs w:val="22"/>
              <w:lang w:eastAsia="en-US"/>
            </w:rPr>
          </w:pPr>
          <w:hyperlink w:anchor="_Toc110602298" w:history="1">
            <w:r w:rsidR="00DA2B5D" w:rsidRPr="00E118A8">
              <w:rPr>
                <w:rStyle w:val="Hyperlink"/>
                <w:noProof/>
              </w:rPr>
              <w:t>Cloud Migration: Fundamentals and Challenges</w:t>
            </w:r>
            <w:r w:rsidR="00DA2B5D">
              <w:rPr>
                <w:noProof/>
                <w:webHidden/>
              </w:rPr>
              <w:tab/>
            </w:r>
            <w:r w:rsidR="00DA2B5D">
              <w:rPr>
                <w:noProof/>
                <w:webHidden/>
              </w:rPr>
              <w:fldChar w:fldCharType="begin"/>
            </w:r>
            <w:r w:rsidR="00DA2B5D">
              <w:rPr>
                <w:noProof/>
                <w:webHidden/>
              </w:rPr>
              <w:instrText xml:space="preserve"> PAGEREF _Toc110602298 \h </w:instrText>
            </w:r>
            <w:r w:rsidR="00DA2B5D">
              <w:rPr>
                <w:noProof/>
                <w:webHidden/>
              </w:rPr>
            </w:r>
            <w:r w:rsidR="00DA2B5D">
              <w:rPr>
                <w:noProof/>
                <w:webHidden/>
              </w:rPr>
              <w:fldChar w:fldCharType="separate"/>
            </w:r>
            <w:r w:rsidR="006478EE">
              <w:rPr>
                <w:noProof/>
                <w:webHidden/>
              </w:rPr>
              <w:t>4</w:t>
            </w:r>
            <w:r w:rsidR="00DA2B5D">
              <w:rPr>
                <w:noProof/>
                <w:webHidden/>
              </w:rPr>
              <w:fldChar w:fldCharType="end"/>
            </w:r>
          </w:hyperlink>
        </w:p>
        <w:p w14:paraId="1893EC85" w14:textId="3A155D48" w:rsidR="00DA2B5D" w:rsidRDefault="00000000" w:rsidP="00DA2B5D">
          <w:pPr>
            <w:pStyle w:val="TOC1"/>
            <w:rPr>
              <w:noProof/>
              <w:kern w:val="0"/>
              <w:sz w:val="22"/>
              <w:szCs w:val="22"/>
              <w:lang w:eastAsia="en-US"/>
            </w:rPr>
          </w:pPr>
          <w:hyperlink w:anchor="_Toc110602299" w:history="1">
            <w:r w:rsidR="00DA2B5D" w:rsidRPr="00E118A8">
              <w:rPr>
                <w:rStyle w:val="Hyperlink"/>
                <w:noProof/>
              </w:rPr>
              <w:t>Cloud Fundamentals and Services</w:t>
            </w:r>
            <w:r w:rsidR="00DA2B5D">
              <w:rPr>
                <w:noProof/>
                <w:webHidden/>
              </w:rPr>
              <w:tab/>
            </w:r>
            <w:r w:rsidR="00DA2B5D">
              <w:rPr>
                <w:noProof/>
                <w:webHidden/>
              </w:rPr>
              <w:fldChar w:fldCharType="begin"/>
            </w:r>
            <w:r w:rsidR="00DA2B5D">
              <w:rPr>
                <w:noProof/>
                <w:webHidden/>
              </w:rPr>
              <w:instrText xml:space="preserve"> PAGEREF _Toc110602299 \h </w:instrText>
            </w:r>
            <w:r w:rsidR="00DA2B5D">
              <w:rPr>
                <w:noProof/>
                <w:webHidden/>
              </w:rPr>
            </w:r>
            <w:r w:rsidR="00DA2B5D">
              <w:rPr>
                <w:noProof/>
                <w:webHidden/>
              </w:rPr>
              <w:fldChar w:fldCharType="separate"/>
            </w:r>
            <w:r w:rsidR="006478EE">
              <w:rPr>
                <w:noProof/>
                <w:webHidden/>
              </w:rPr>
              <w:t>4</w:t>
            </w:r>
            <w:r w:rsidR="00DA2B5D">
              <w:rPr>
                <w:noProof/>
                <w:webHidden/>
              </w:rPr>
              <w:fldChar w:fldCharType="end"/>
            </w:r>
          </w:hyperlink>
        </w:p>
        <w:p w14:paraId="7DE56309" w14:textId="7DE73B6F" w:rsidR="00DA2B5D" w:rsidRDefault="00000000" w:rsidP="00DA2B5D">
          <w:pPr>
            <w:pStyle w:val="TOC2"/>
            <w:tabs>
              <w:tab w:val="right" w:leader="dot" w:pos="9350"/>
            </w:tabs>
            <w:spacing w:line="240" w:lineRule="auto"/>
            <w:rPr>
              <w:noProof/>
              <w:kern w:val="0"/>
              <w:sz w:val="22"/>
              <w:szCs w:val="22"/>
              <w:lang w:eastAsia="en-US"/>
            </w:rPr>
          </w:pPr>
          <w:hyperlink w:anchor="_Toc110602300" w:history="1">
            <w:r w:rsidR="00DA2B5D" w:rsidRPr="00E118A8">
              <w:rPr>
                <w:rStyle w:val="Hyperlink"/>
                <w:noProof/>
              </w:rPr>
              <w:t>Cloud Fundamentals</w:t>
            </w:r>
            <w:r w:rsidR="00DA2B5D">
              <w:rPr>
                <w:noProof/>
                <w:webHidden/>
              </w:rPr>
              <w:tab/>
            </w:r>
            <w:r w:rsidR="00DA2B5D">
              <w:rPr>
                <w:noProof/>
                <w:webHidden/>
              </w:rPr>
              <w:fldChar w:fldCharType="begin"/>
            </w:r>
            <w:r w:rsidR="00DA2B5D">
              <w:rPr>
                <w:noProof/>
                <w:webHidden/>
              </w:rPr>
              <w:instrText xml:space="preserve"> PAGEREF _Toc110602300 \h </w:instrText>
            </w:r>
            <w:r w:rsidR="00DA2B5D">
              <w:rPr>
                <w:noProof/>
                <w:webHidden/>
              </w:rPr>
            </w:r>
            <w:r w:rsidR="00DA2B5D">
              <w:rPr>
                <w:noProof/>
                <w:webHidden/>
              </w:rPr>
              <w:fldChar w:fldCharType="separate"/>
            </w:r>
            <w:r w:rsidR="006478EE">
              <w:rPr>
                <w:noProof/>
                <w:webHidden/>
              </w:rPr>
              <w:t>4</w:t>
            </w:r>
            <w:r w:rsidR="00DA2B5D">
              <w:rPr>
                <w:noProof/>
                <w:webHidden/>
              </w:rPr>
              <w:fldChar w:fldCharType="end"/>
            </w:r>
          </w:hyperlink>
        </w:p>
        <w:p w14:paraId="64153D5D" w14:textId="1BD34A7D" w:rsidR="00DA2B5D" w:rsidRDefault="00000000" w:rsidP="00DA2B5D">
          <w:pPr>
            <w:pStyle w:val="TOC2"/>
            <w:tabs>
              <w:tab w:val="right" w:leader="dot" w:pos="9350"/>
            </w:tabs>
            <w:spacing w:line="240" w:lineRule="auto"/>
            <w:rPr>
              <w:noProof/>
              <w:kern w:val="0"/>
              <w:sz w:val="22"/>
              <w:szCs w:val="22"/>
              <w:lang w:eastAsia="en-US"/>
            </w:rPr>
          </w:pPr>
          <w:hyperlink w:anchor="_Toc110602301" w:history="1">
            <w:r w:rsidR="00DA2B5D" w:rsidRPr="00E118A8">
              <w:rPr>
                <w:rStyle w:val="Hyperlink"/>
                <w:noProof/>
              </w:rPr>
              <w:t>Cloud Services</w:t>
            </w:r>
            <w:r w:rsidR="00DA2B5D">
              <w:rPr>
                <w:noProof/>
                <w:webHidden/>
              </w:rPr>
              <w:tab/>
            </w:r>
            <w:r w:rsidR="00DA2B5D">
              <w:rPr>
                <w:noProof/>
                <w:webHidden/>
              </w:rPr>
              <w:fldChar w:fldCharType="begin"/>
            </w:r>
            <w:r w:rsidR="00DA2B5D">
              <w:rPr>
                <w:noProof/>
                <w:webHidden/>
              </w:rPr>
              <w:instrText xml:space="preserve"> PAGEREF _Toc110602301 \h </w:instrText>
            </w:r>
            <w:r w:rsidR="00DA2B5D">
              <w:rPr>
                <w:noProof/>
                <w:webHidden/>
              </w:rPr>
            </w:r>
            <w:r w:rsidR="00DA2B5D">
              <w:rPr>
                <w:noProof/>
                <w:webHidden/>
              </w:rPr>
              <w:fldChar w:fldCharType="separate"/>
            </w:r>
            <w:r w:rsidR="006478EE">
              <w:rPr>
                <w:noProof/>
                <w:webHidden/>
              </w:rPr>
              <w:t>5</w:t>
            </w:r>
            <w:r w:rsidR="00DA2B5D">
              <w:rPr>
                <w:noProof/>
                <w:webHidden/>
              </w:rPr>
              <w:fldChar w:fldCharType="end"/>
            </w:r>
          </w:hyperlink>
        </w:p>
        <w:p w14:paraId="1DE0049C" w14:textId="76155B9B" w:rsidR="00DA2B5D" w:rsidRDefault="00000000" w:rsidP="00DA2B5D">
          <w:pPr>
            <w:pStyle w:val="TOC1"/>
            <w:rPr>
              <w:noProof/>
              <w:kern w:val="0"/>
              <w:sz w:val="22"/>
              <w:szCs w:val="22"/>
              <w:lang w:eastAsia="en-US"/>
            </w:rPr>
          </w:pPr>
          <w:hyperlink w:anchor="_Toc110602302" w:history="1">
            <w:r w:rsidR="00DA2B5D" w:rsidRPr="00E118A8">
              <w:rPr>
                <w:rStyle w:val="Hyperlink"/>
                <w:noProof/>
              </w:rPr>
              <w:t>Cloud Migration Process</w:t>
            </w:r>
            <w:r w:rsidR="00DA2B5D">
              <w:rPr>
                <w:noProof/>
                <w:webHidden/>
              </w:rPr>
              <w:tab/>
            </w:r>
            <w:r w:rsidR="00DA2B5D">
              <w:rPr>
                <w:noProof/>
                <w:webHidden/>
              </w:rPr>
              <w:fldChar w:fldCharType="begin"/>
            </w:r>
            <w:r w:rsidR="00DA2B5D">
              <w:rPr>
                <w:noProof/>
                <w:webHidden/>
              </w:rPr>
              <w:instrText xml:space="preserve"> PAGEREF _Toc110602302 \h </w:instrText>
            </w:r>
            <w:r w:rsidR="00DA2B5D">
              <w:rPr>
                <w:noProof/>
                <w:webHidden/>
              </w:rPr>
            </w:r>
            <w:r w:rsidR="00DA2B5D">
              <w:rPr>
                <w:noProof/>
                <w:webHidden/>
              </w:rPr>
              <w:fldChar w:fldCharType="separate"/>
            </w:r>
            <w:r w:rsidR="006478EE">
              <w:rPr>
                <w:noProof/>
                <w:webHidden/>
              </w:rPr>
              <w:t>5</w:t>
            </w:r>
            <w:r w:rsidR="00DA2B5D">
              <w:rPr>
                <w:noProof/>
                <w:webHidden/>
              </w:rPr>
              <w:fldChar w:fldCharType="end"/>
            </w:r>
          </w:hyperlink>
        </w:p>
        <w:p w14:paraId="361D96C2" w14:textId="0C49A22E" w:rsidR="00DA2B5D" w:rsidRDefault="00000000" w:rsidP="00DA2B5D">
          <w:pPr>
            <w:pStyle w:val="TOC2"/>
            <w:tabs>
              <w:tab w:val="right" w:leader="dot" w:pos="9350"/>
            </w:tabs>
            <w:spacing w:line="240" w:lineRule="auto"/>
            <w:rPr>
              <w:noProof/>
              <w:kern w:val="0"/>
              <w:sz w:val="22"/>
              <w:szCs w:val="22"/>
              <w:lang w:eastAsia="en-US"/>
            </w:rPr>
          </w:pPr>
          <w:hyperlink w:anchor="_Toc110602303" w:history="1">
            <w:r w:rsidR="00DA2B5D" w:rsidRPr="00E118A8">
              <w:rPr>
                <w:rStyle w:val="Hyperlink"/>
                <w:noProof/>
              </w:rPr>
              <w:t>Planning</w:t>
            </w:r>
            <w:r w:rsidR="00DA2B5D">
              <w:rPr>
                <w:noProof/>
                <w:webHidden/>
              </w:rPr>
              <w:tab/>
            </w:r>
            <w:r w:rsidR="00DA2B5D">
              <w:rPr>
                <w:noProof/>
                <w:webHidden/>
              </w:rPr>
              <w:fldChar w:fldCharType="begin"/>
            </w:r>
            <w:r w:rsidR="00DA2B5D">
              <w:rPr>
                <w:noProof/>
                <w:webHidden/>
              </w:rPr>
              <w:instrText xml:space="preserve"> PAGEREF _Toc110602303 \h </w:instrText>
            </w:r>
            <w:r w:rsidR="00DA2B5D">
              <w:rPr>
                <w:noProof/>
                <w:webHidden/>
              </w:rPr>
            </w:r>
            <w:r w:rsidR="00DA2B5D">
              <w:rPr>
                <w:noProof/>
                <w:webHidden/>
              </w:rPr>
              <w:fldChar w:fldCharType="separate"/>
            </w:r>
            <w:r w:rsidR="006478EE">
              <w:rPr>
                <w:noProof/>
                <w:webHidden/>
              </w:rPr>
              <w:t>5</w:t>
            </w:r>
            <w:r w:rsidR="00DA2B5D">
              <w:rPr>
                <w:noProof/>
                <w:webHidden/>
              </w:rPr>
              <w:fldChar w:fldCharType="end"/>
            </w:r>
          </w:hyperlink>
        </w:p>
        <w:p w14:paraId="282D7242" w14:textId="673B57C7" w:rsidR="00DA2B5D" w:rsidRDefault="00000000" w:rsidP="00DA2B5D">
          <w:pPr>
            <w:pStyle w:val="TOC3"/>
            <w:rPr>
              <w:noProof/>
              <w:kern w:val="0"/>
              <w:sz w:val="22"/>
              <w:szCs w:val="22"/>
              <w:lang w:eastAsia="en-US"/>
            </w:rPr>
          </w:pPr>
          <w:hyperlink w:anchor="_Toc110602304" w:history="1">
            <w:r w:rsidR="00DA2B5D" w:rsidRPr="00E118A8">
              <w:rPr>
                <w:rStyle w:val="Hyperlink"/>
                <w:noProof/>
              </w:rPr>
              <w:t>Functionality Review</w:t>
            </w:r>
            <w:r w:rsidR="00DA2B5D">
              <w:rPr>
                <w:noProof/>
                <w:webHidden/>
              </w:rPr>
              <w:tab/>
            </w:r>
            <w:r w:rsidR="00DA2B5D">
              <w:rPr>
                <w:noProof/>
                <w:webHidden/>
              </w:rPr>
              <w:fldChar w:fldCharType="begin"/>
            </w:r>
            <w:r w:rsidR="00DA2B5D">
              <w:rPr>
                <w:noProof/>
                <w:webHidden/>
              </w:rPr>
              <w:instrText xml:space="preserve"> PAGEREF _Toc110602304 \h </w:instrText>
            </w:r>
            <w:r w:rsidR="00DA2B5D">
              <w:rPr>
                <w:noProof/>
                <w:webHidden/>
              </w:rPr>
            </w:r>
            <w:r w:rsidR="00DA2B5D">
              <w:rPr>
                <w:noProof/>
                <w:webHidden/>
              </w:rPr>
              <w:fldChar w:fldCharType="separate"/>
            </w:r>
            <w:r w:rsidR="006478EE">
              <w:rPr>
                <w:noProof/>
                <w:webHidden/>
              </w:rPr>
              <w:t>5</w:t>
            </w:r>
            <w:r w:rsidR="00DA2B5D">
              <w:rPr>
                <w:noProof/>
                <w:webHidden/>
              </w:rPr>
              <w:fldChar w:fldCharType="end"/>
            </w:r>
          </w:hyperlink>
        </w:p>
        <w:p w14:paraId="72852963" w14:textId="7956AB9D" w:rsidR="00DA2B5D" w:rsidRDefault="00000000" w:rsidP="00DA2B5D">
          <w:pPr>
            <w:pStyle w:val="TOC3"/>
            <w:rPr>
              <w:noProof/>
              <w:kern w:val="0"/>
              <w:sz w:val="22"/>
              <w:szCs w:val="22"/>
              <w:lang w:eastAsia="en-US"/>
            </w:rPr>
          </w:pPr>
          <w:hyperlink w:anchor="_Toc110602305" w:history="1">
            <w:r w:rsidR="00DA2B5D" w:rsidRPr="00E118A8">
              <w:rPr>
                <w:rStyle w:val="Hyperlink"/>
                <w:noProof/>
              </w:rPr>
              <w:t>Environment Assessment</w:t>
            </w:r>
            <w:r w:rsidR="00DA2B5D">
              <w:rPr>
                <w:noProof/>
                <w:webHidden/>
              </w:rPr>
              <w:tab/>
            </w:r>
            <w:r w:rsidR="00DA2B5D">
              <w:rPr>
                <w:noProof/>
                <w:webHidden/>
              </w:rPr>
              <w:fldChar w:fldCharType="begin"/>
            </w:r>
            <w:r w:rsidR="00DA2B5D">
              <w:rPr>
                <w:noProof/>
                <w:webHidden/>
              </w:rPr>
              <w:instrText xml:space="preserve"> PAGEREF _Toc110602305 \h </w:instrText>
            </w:r>
            <w:r w:rsidR="00DA2B5D">
              <w:rPr>
                <w:noProof/>
                <w:webHidden/>
              </w:rPr>
            </w:r>
            <w:r w:rsidR="00DA2B5D">
              <w:rPr>
                <w:noProof/>
                <w:webHidden/>
              </w:rPr>
              <w:fldChar w:fldCharType="separate"/>
            </w:r>
            <w:r w:rsidR="006478EE">
              <w:rPr>
                <w:noProof/>
                <w:webHidden/>
              </w:rPr>
              <w:t>6</w:t>
            </w:r>
            <w:r w:rsidR="00DA2B5D">
              <w:rPr>
                <w:noProof/>
                <w:webHidden/>
              </w:rPr>
              <w:fldChar w:fldCharType="end"/>
            </w:r>
          </w:hyperlink>
        </w:p>
        <w:p w14:paraId="7991ABE1" w14:textId="1CA9B5D4" w:rsidR="00DA2B5D" w:rsidRDefault="00000000" w:rsidP="00DA2B5D">
          <w:pPr>
            <w:pStyle w:val="TOC3"/>
            <w:rPr>
              <w:noProof/>
              <w:kern w:val="0"/>
              <w:sz w:val="22"/>
              <w:szCs w:val="22"/>
              <w:lang w:eastAsia="en-US"/>
            </w:rPr>
          </w:pPr>
          <w:hyperlink w:anchor="_Toc110602306" w:history="1">
            <w:r w:rsidR="00DA2B5D" w:rsidRPr="00E118A8">
              <w:rPr>
                <w:rStyle w:val="Hyperlink"/>
                <w:noProof/>
              </w:rPr>
              <w:t>Strategy Selection</w:t>
            </w:r>
            <w:r w:rsidR="00DA2B5D">
              <w:rPr>
                <w:noProof/>
                <w:webHidden/>
              </w:rPr>
              <w:tab/>
            </w:r>
            <w:r w:rsidR="00DA2B5D">
              <w:rPr>
                <w:noProof/>
                <w:webHidden/>
              </w:rPr>
              <w:fldChar w:fldCharType="begin"/>
            </w:r>
            <w:r w:rsidR="00DA2B5D">
              <w:rPr>
                <w:noProof/>
                <w:webHidden/>
              </w:rPr>
              <w:instrText xml:space="preserve"> PAGEREF _Toc110602306 \h </w:instrText>
            </w:r>
            <w:r w:rsidR="00DA2B5D">
              <w:rPr>
                <w:noProof/>
                <w:webHidden/>
              </w:rPr>
            </w:r>
            <w:r w:rsidR="00DA2B5D">
              <w:rPr>
                <w:noProof/>
                <w:webHidden/>
              </w:rPr>
              <w:fldChar w:fldCharType="separate"/>
            </w:r>
            <w:r w:rsidR="006478EE">
              <w:rPr>
                <w:noProof/>
                <w:webHidden/>
              </w:rPr>
              <w:t>7</w:t>
            </w:r>
            <w:r w:rsidR="00DA2B5D">
              <w:rPr>
                <w:noProof/>
                <w:webHidden/>
              </w:rPr>
              <w:fldChar w:fldCharType="end"/>
            </w:r>
          </w:hyperlink>
        </w:p>
        <w:p w14:paraId="647BCCC0" w14:textId="33FE44B8" w:rsidR="00DA2B5D" w:rsidRDefault="00000000" w:rsidP="00DA2B5D">
          <w:pPr>
            <w:pStyle w:val="TOC2"/>
            <w:tabs>
              <w:tab w:val="right" w:leader="dot" w:pos="9350"/>
            </w:tabs>
            <w:spacing w:line="240" w:lineRule="auto"/>
            <w:rPr>
              <w:noProof/>
              <w:kern w:val="0"/>
              <w:sz w:val="22"/>
              <w:szCs w:val="22"/>
              <w:lang w:eastAsia="en-US"/>
            </w:rPr>
          </w:pPr>
          <w:hyperlink w:anchor="_Toc110602307" w:history="1">
            <w:r w:rsidR="00DA2B5D" w:rsidRPr="00E118A8">
              <w:rPr>
                <w:rStyle w:val="Hyperlink"/>
                <w:noProof/>
              </w:rPr>
              <w:t>Migration</w:t>
            </w:r>
            <w:r w:rsidR="00DA2B5D">
              <w:rPr>
                <w:noProof/>
                <w:webHidden/>
              </w:rPr>
              <w:tab/>
            </w:r>
            <w:r w:rsidR="00DA2B5D">
              <w:rPr>
                <w:noProof/>
                <w:webHidden/>
              </w:rPr>
              <w:fldChar w:fldCharType="begin"/>
            </w:r>
            <w:r w:rsidR="00DA2B5D">
              <w:rPr>
                <w:noProof/>
                <w:webHidden/>
              </w:rPr>
              <w:instrText xml:space="preserve"> PAGEREF _Toc110602307 \h </w:instrText>
            </w:r>
            <w:r w:rsidR="00DA2B5D">
              <w:rPr>
                <w:noProof/>
                <w:webHidden/>
              </w:rPr>
            </w:r>
            <w:r w:rsidR="00DA2B5D">
              <w:rPr>
                <w:noProof/>
                <w:webHidden/>
              </w:rPr>
              <w:fldChar w:fldCharType="separate"/>
            </w:r>
            <w:r w:rsidR="006478EE">
              <w:rPr>
                <w:noProof/>
                <w:webHidden/>
              </w:rPr>
              <w:t>12</w:t>
            </w:r>
            <w:r w:rsidR="00DA2B5D">
              <w:rPr>
                <w:noProof/>
                <w:webHidden/>
              </w:rPr>
              <w:fldChar w:fldCharType="end"/>
            </w:r>
          </w:hyperlink>
        </w:p>
        <w:p w14:paraId="7C6ABEE2" w14:textId="5941EBA5" w:rsidR="00DA2B5D" w:rsidRDefault="00000000" w:rsidP="00DA2B5D">
          <w:pPr>
            <w:pStyle w:val="TOC3"/>
            <w:rPr>
              <w:noProof/>
              <w:kern w:val="0"/>
              <w:sz w:val="22"/>
              <w:szCs w:val="22"/>
              <w:lang w:eastAsia="en-US"/>
            </w:rPr>
          </w:pPr>
          <w:hyperlink w:anchor="_Toc110602308" w:history="1">
            <w:r w:rsidR="00DA2B5D" w:rsidRPr="00E118A8">
              <w:rPr>
                <w:rStyle w:val="Hyperlink"/>
                <w:noProof/>
              </w:rPr>
              <w:t>Service Disruptions</w:t>
            </w:r>
            <w:r w:rsidR="00DA2B5D">
              <w:rPr>
                <w:noProof/>
                <w:webHidden/>
              </w:rPr>
              <w:tab/>
            </w:r>
            <w:r w:rsidR="00DA2B5D">
              <w:rPr>
                <w:noProof/>
                <w:webHidden/>
              </w:rPr>
              <w:fldChar w:fldCharType="begin"/>
            </w:r>
            <w:r w:rsidR="00DA2B5D">
              <w:rPr>
                <w:noProof/>
                <w:webHidden/>
              </w:rPr>
              <w:instrText xml:space="preserve"> PAGEREF _Toc110602308 \h </w:instrText>
            </w:r>
            <w:r w:rsidR="00DA2B5D">
              <w:rPr>
                <w:noProof/>
                <w:webHidden/>
              </w:rPr>
            </w:r>
            <w:r w:rsidR="00DA2B5D">
              <w:rPr>
                <w:noProof/>
                <w:webHidden/>
              </w:rPr>
              <w:fldChar w:fldCharType="separate"/>
            </w:r>
            <w:r w:rsidR="006478EE">
              <w:rPr>
                <w:noProof/>
                <w:webHidden/>
              </w:rPr>
              <w:t>12</w:t>
            </w:r>
            <w:r w:rsidR="00DA2B5D">
              <w:rPr>
                <w:noProof/>
                <w:webHidden/>
              </w:rPr>
              <w:fldChar w:fldCharType="end"/>
            </w:r>
          </w:hyperlink>
        </w:p>
        <w:p w14:paraId="2629DBD7" w14:textId="7B83D2BB" w:rsidR="00DA2B5D" w:rsidRDefault="00000000" w:rsidP="00DA2B5D">
          <w:pPr>
            <w:pStyle w:val="TOC3"/>
            <w:rPr>
              <w:noProof/>
              <w:kern w:val="0"/>
              <w:sz w:val="22"/>
              <w:szCs w:val="22"/>
              <w:lang w:eastAsia="en-US"/>
            </w:rPr>
          </w:pPr>
          <w:hyperlink w:anchor="_Toc110602309" w:history="1">
            <w:r w:rsidR="00DA2B5D" w:rsidRPr="00E118A8">
              <w:rPr>
                <w:rStyle w:val="Hyperlink"/>
                <w:noProof/>
              </w:rPr>
              <w:t>Cost</w:t>
            </w:r>
            <w:r w:rsidR="00DA2B5D">
              <w:rPr>
                <w:noProof/>
                <w:webHidden/>
              </w:rPr>
              <w:tab/>
            </w:r>
            <w:r w:rsidR="00DA2B5D">
              <w:rPr>
                <w:noProof/>
                <w:webHidden/>
              </w:rPr>
              <w:fldChar w:fldCharType="begin"/>
            </w:r>
            <w:r w:rsidR="00DA2B5D">
              <w:rPr>
                <w:noProof/>
                <w:webHidden/>
              </w:rPr>
              <w:instrText xml:space="preserve"> PAGEREF _Toc110602309 \h </w:instrText>
            </w:r>
            <w:r w:rsidR="00DA2B5D">
              <w:rPr>
                <w:noProof/>
                <w:webHidden/>
              </w:rPr>
            </w:r>
            <w:r w:rsidR="00DA2B5D">
              <w:rPr>
                <w:noProof/>
                <w:webHidden/>
              </w:rPr>
              <w:fldChar w:fldCharType="separate"/>
            </w:r>
            <w:r w:rsidR="006478EE">
              <w:rPr>
                <w:noProof/>
                <w:webHidden/>
              </w:rPr>
              <w:t>12</w:t>
            </w:r>
            <w:r w:rsidR="00DA2B5D">
              <w:rPr>
                <w:noProof/>
                <w:webHidden/>
              </w:rPr>
              <w:fldChar w:fldCharType="end"/>
            </w:r>
          </w:hyperlink>
        </w:p>
        <w:p w14:paraId="2EE384C6" w14:textId="62950C51" w:rsidR="00DA2B5D" w:rsidRDefault="00000000" w:rsidP="00DA2B5D">
          <w:pPr>
            <w:pStyle w:val="TOC3"/>
            <w:rPr>
              <w:noProof/>
              <w:kern w:val="0"/>
              <w:sz w:val="22"/>
              <w:szCs w:val="22"/>
              <w:lang w:eastAsia="en-US"/>
            </w:rPr>
          </w:pPr>
          <w:hyperlink w:anchor="_Toc110602310" w:history="1">
            <w:r w:rsidR="00DA2B5D" w:rsidRPr="00E118A8">
              <w:rPr>
                <w:rStyle w:val="Hyperlink"/>
                <w:noProof/>
              </w:rPr>
              <w:t>Time</w:t>
            </w:r>
            <w:r w:rsidR="00DA2B5D">
              <w:rPr>
                <w:noProof/>
                <w:webHidden/>
              </w:rPr>
              <w:tab/>
            </w:r>
            <w:r w:rsidR="00DA2B5D">
              <w:rPr>
                <w:noProof/>
                <w:webHidden/>
              </w:rPr>
              <w:fldChar w:fldCharType="begin"/>
            </w:r>
            <w:r w:rsidR="00DA2B5D">
              <w:rPr>
                <w:noProof/>
                <w:webHidden/>
              </w:rPr>
              <w:instrText xml:space="preserve"> PAGEREF _Toc110602310 \h </w:instrText>
            </w:r>
            <w:r w:rsidR="00DA2B5D">
              <w:rPr>
                <w:noProof/>
                <w:webHidden/>
              </w:rPr>
            </w:r>
            <w:r w:rsidR="00DA2B5D">
              <w:rPr>
                <w:noProof/>
                <w:webHidden/>
              </w:rPr>
              <w:fldChar w:fldCharType="separate"/>
            </w:r>
            <w:r w:rsidR="006478EE">
              <w:rPr>
                <w:noProof/>
                <w:webHidden/>
              </w:rPr>
              <w:t>12</w:t>
            </w:r>
            <w:r w:rsidR="00DA2B5D">
              <w:rPr>
                <w:noProof/>
                <w:webHidden/>
              </w:rPr>
              <w:fldChar w:fldCharType="end"/>
            </w:r>
          </w:hyperlink>
        </w:p>
        <w:p w14:paraId="69696636" w14:textId="28C413B7" w:rsidR="00DA2B5D" w:rsidRDefault="00000000" w:rsidP="00DA2B5D">
          <w:pPr>
            <w:pStyle w:val="TOC2"/>
            <w:tabs>
              <w:tab w:val="right" w:leader="dot" w:pos="9350"/>
            </w:tabs>
            <w:spacing w:line="240" w:lineRule="auto"/>
            <w:rPr>
              <w:noProof/>
              <w:kern w:val="0"/>
              <w:sz w:val="22"/>
              <w:szCs w:val="22"/>
              <w:lang w:eastAsia="en-US"/>
            </w:rPr>
          </w:pPr>
          <w:hyperlink w:anchor="_Toc110602311" w:history="1">
            <w:r w:rsidR="00DA2B5D" w:rsidRPr="00E118A8">
              <w:rPr>
                <w:rStyle w:val="Hyperlink"/>
                <w:noProof/>
              </w:rPr>
              <w:t>Cutover</w:t>
            </w:r>
            <w:r w:rsidR="00DA2B5D">
              <w:rPr>
                <w:noProof/>
                <w:webHidden/>
              </w:rPr>
              <w:tab/>
            </w:r>
            <w:r w:rsidR="00DA2B5D">
              <w:rPr>
                <w:noProof/>
                <w:webHidden/>
              </w:rPr>
              <w:fldChar w:fldCharType="begin"/>
            </w:r>
            <w:r w:rsidR="00DA2B5D">
              <w:rPr>
                <w:noProof/>
                <w:webHidden/>
              </w:rPr>
              <w:instrText xml:space="preserve"> PAGEREF _Toc110602311 \h </w:instrText>
            </w:r>
            <w:r w:rsidR="00DA2B5D">
              <w:rPr>
                <w:noProof/>
                <w:webHidden/>
              </w:rPr>
            </w:r>
            <w:r w:rsidR="00DA2B5D">
              <w:rPr>
                <w:noProof/>
                <w:webHidden/>
              </w:rPr>
              <w:fldChar w:fldCharType="separate"/>
            </w:r>
            <w:r w:rsidR="006478EE">
              <w:rPr>
                <w:noProof/>
                <w:webHidden/>
              </w:rPr>
              <w:t>13</w:t>
            </w:r>
            <w:r w:rsidR="00DA2B5D">
              <w:rPr>
                <w:noProof/>
                <w:webHidden/>
              </w:rPr>
              <w:fldChar w:fldCharType="end"/>
            </w:r>
          </w:hyperlink>
        </w:p>
        <w:p w14:paraId="0B830DFF" w14:textId="70AC6561" w:rsidR="00DA2B5D" w:rsidRDefault="00000000" w:rsidP="00DA2B5D">
          <w:pPr>
            <w:pStyle w:val="TOC1"/>
            <w:rPr>
              <w:noProof/>
              <w:kern w:val="0"/>
              <w:sz w:val="22"/>
              <w:szCs w:val="22"/>
              <w:lang w:eastAsia="en-US"/>
            </w:rPr>
          </w:pPr>
          <w:hyperlink w:anchor="_Toc110602312" w:history="1">
            <w:r w:rsidR="00DA2B5D" w:rsidRPr="00E118A8">
              <w:rPr>
                <w:rStyle w:val="Hyperlink"/>
                <w:noProof/>
              </w:rPr>
              <w:t>Cloud Migration Challenges</w:t>
            </w:r>
            <w:r w:rsidR="00DA2B5D">
              <w:rPr>
                <w:noProof/>
                <w:webHidden/>
              </w:rPr>
              <w:tab/>
            </w:r>
            <w:r w:rsidR="00DA2B5D">
              <w:rPr>
                <w:noProof/>
                <w:webHidden/>
              </w:rPr>
              <w:fldChar w:fldCharType="begin"/>
            </w:r>
            <w:r w:rsidR="00DA2B5D">
              <w:rPr>
                <w:noProof/>
                <w:webHidden/>
              </w:rPr>
              <w:instrText xml:space="preserve"> PAGEREF _Toc110602312 \h </w:instrText>
            </w:r>
            <w:r w:rsidR="00DA2B5D">
              <w:rPr>
                <w:noProof/>
                <w:webHidden/>
              </w:rPr>
            </w:r>
            <w:r w:rsidR="00DA2B5D">
              <w:rPr>
                <w:noProof/>
                <w:webHidden/>
              </w:rPr>
              <w:fldChar w:fldCharType="separate"/>
            </w:r>
            <w:r w:rsidR="006478EE">
              <w:rPr>
                <w:noProof/>
                <w:webHidden/>
              </w:rPr>
              <w:t>13</w:t>
            </w:r>
            <w:r w:rsidR="00DA2B5D">
              <w:rPr>
                <w:noProof/>
                <w:webHidden/>
              </w:rPr>
              <w:fldChar w:fldCharType="end"/>
            </w:r>
          </w:hyperlink>
        </w:p>
        <w:p w14:paraId="3DBCA416" w14:textId="78735D1C" w:rsidR="00DA2B5D" w:rsidRDefault="00000000" w:rsidP="00DA2B5D">
          <w:pPr>
            <w:pStyle w:val="TOC2"/>
            <w:tabs>
              <w:tab w:val="right" w:leader="dot" w:pos="9350"/>
            </w:tabs>
            <w:spacing w:line="240" w:lineRule="auto"/>
            <w:rPr>
              <w:noProof/>
              <w:kern w:val="0"/>
              <w:sz w:val="22"/>
              <w:szCs w:val="22"/>
              <w:lang w:eastAsia="en-US"/>
            </w:rPr>
          </w:pPr>
          <w:hyperlink w:anchor="_Toc110602313" w:history="1">
            <w:r w:rsidR="00DA2B5D" w:rsidRPr="00E118A8">
              <w:rPr>
                <w:rStyle w:val="Hyperlink"/>
                <w:noProof/>
              </w:rPr>
              <w:t>Security</w:t>
            </w:r>
            <w:r w:rsidR="00DA2B5D">
              <w:rPr>
                <w:noProof/>
                <w:webHidden/>
              </w:rPr>
              <w:tab/>
            </w:r>
            <w:r w:rsidR="00DA2B5D">
              <w:rPr>
                <w:noProof/>
                <w:webHidden/>
              </w:rPr>
              <w:fldChar w:fldCharType="begin"/>
            </w:r>
            <w:r w:rsidR="00DA2B5D">
              <w:rPr>
                <w:noProof/>
                <w:webHidden/>
              </w:rPr>
              <w:instrText xml:space="preserve"> PAGEREF _Toc110602313 \h </w:instrText>
            </w:r>
            <w:r w:rsidR="00DA2B5D">
              <w:rPr>
                <w:noProof/>
                <w:webHidden/>
              </w:rPr>
            </w:r>
            <w:r w:rsidR="00DA2B5D">
              <w:rPr>
                <w:noProof/>
                <w:webHidden/>
              </w:rPr>
              <w:fldChar w:fldCharType="separate"/>
            </w:r>
            <w:r w:rsidR="006478EE">
              <w:rPr>
                <w:noProof/>
                <w:webHidden/>
              </w:rPr>
              <w:t>14</w:t>
            </w:r>
            <w:r w:rsidR="00DA2B5D">
              <w:rPr>
                <w:noProof/>
                <w:webHidden/>
              </w:rPr>
              <w:fldChar w:fldCharType="end"/>
            </w:r>
          </w:hyperlink>
        </w:p>
        <w:p w14:paraId="08EFBF88" w14:textId="44784972" w:rsidR="00DA2B5D" w:rsidRDefault="00000000" w:rsidP="00DA2B5D">
          <w:pPr>
            <w:pStyle w:val="TOC2"/>
            <w:tabs>
              <w:tab w:val="right" w:leader="dot" w:pos="9350"/>
            </w:tabs>
            <w:spacing w:line="240" w:lineRule="auto"/>
            <w:rPr>
              <w:noProof/>
              <w:kern w:val="0"/>
              <w:sz w:val="22"/>
              <w:szCs w:val="22"/>
              <w:lang w:eastAsia="en-US"/>
            </w:rPr>
          </w:pPr>
          <w:hyperlink w:anchor="_Toc110602314" w:history="1">
            <w:r w:rsidR="00DA2B5D" w:rsidRPr="00E118A8">
              <w:rPr>
                <w:rStyle w:val="Hyperlink"/>
                <w:noProof/>
              </w:rPr>
              <w:t>Vendor Lock</w:t>
            </w:r>
            <w:r w:rsidR="00DA2B5D">
              <w:rPr>
                <w:noProof/>
                <w:webHidden/>
              </w:rPr>
              <w:tab/>
            </w:r>
            <w:r w:rsidR="00DA2B5D">
              <w:rPr>
                <w:noProof/>
                <w:webHidden/>
              </w:rPr>
              <w:fldChar w:fldCharType="begin"/>
            </w:r>
            <w:r w:rsidR="00DA2B5D">
              <w:rPr>
                <w:noProof/>
                <w:webHidden/>
              </w:rPr>
              <w:instrText xml:space="preserve"> PAGEREF _Toc110602314 \h </w:instrText>
            </w:r>
            <w:r w:rsidR="00DA2B5D">
              <w:rPr>
                <w:noProof/>
                <w:webHidden/>
              </w:rPr>
            </w:r>
            <w:r w:rsidR="00DA2B5D">
              <w:rPr>
                <w:noProof/>
                <w:webHidden/>
              </w:rPr>
              <w:fldChar w:fldCharType="separate"/>
            </w:r>
            <w:r w:rsidR="006478EE">
              <w:rPr>
                <w:noProof/>
                <w:webHidden/>
              </w:rPr>
              <w:t>14</w:t>
            </w:r>
            <w:r w:rsidR="00DA2B5D">
              <w:rPr>
                <w:noProof/>
                <w:webHidden/>
              </w:rPr>
              <w:fldChar w:fldCharType="end"/>
            </w:r>
          </w:hyperlink>
        </w:p>
        <w:p w14:paraId="70936838" w14:textId="0AAB82F5" w:rsidR="00DA2B5D" w:rsidRDefault="00000000" w:rsidP="00DA2B5D">
          <w:pPr>
            <w:pStyle w:val="TOC2"/>
            <w:tabs>
              <w:tab w:val="right" w:leader="dot" w:pos="9350"/>
            </w:tabs>
            <w:spacing w:line="240" w:lineRule="auto"/>
            <w:rPr>
              <w:noProof/>
              <w:kern w:val="0"/>
              <w:sz w:val="22"/>
              <w:szCs w:val="22"/>
              <w:lang w:eastAsia="en-US"/>
            </w:rPr>
          </w:pPr>
          <w:hyperlink w:anchor="_Toc110602315" w:history="1">
            <w:r w:rsidR="00DA2B5D" w:rsidRPr="00E118A8">
              <w:rPr>
                <w:rStyle w:val="Hyperlink"/>
                <w:noProof/>
              </w:rPr>
              <w:t>Legacy Systems</w:t>
            </w:r>
            <w:r w:rsidR="00DA2B5D">
              <w:rPr>
                <w:noProof/>
                <w:webHidden/>
              </w:rPr>
              <w:tab/>
            </w:r>
            <w:r w:rsidR="00DA2B5D">
              <w:rPr>
                <w:noProof/>
                <w:webHidden/>
              </w:rPr>
              <w:fldChar w:fldCharType="begin"/>
            </w:r>
            <w:r w:rsidR="00DA2B5D">
              <w:rPr>
                <w:noProof/>
                <w:webHidden/>
              </w:rPr>
              <w:instrText xml:space="preserve"> PAGEREF _Toc110602315 \h </w:instrText>
            </w:r>
            <w:r w:rsidR="00DA2B5D">
              <w:rPr>
                <w:noProof/>
                <w:webHidden/>
              </w:rPr>
            </w:r>
            <w:r w:rsidR="00DA2B5D">
              <w:rPr>
                <w:noProof/>
                <w:webHidden/>
              </w:rPr>
              <w:fldChar w:fldCharType="separate"/>
            </w:r>
            <w:r w:rsidR="006478EE">
              <w:rPr>
                <w:noProof/>
                <w:webHidden/>
              </w:rPr>
              <w:t>15</w:t>
            </w:r>
            <w:r w:rsidR="00DA2B5D">
              <w:rPr>
                <w:noProof/>
                <w:webHidden/>
              </w:rPr>
              <w:fldChar w:fldCharType="end"/>
            </w:r>
          </w:hyperlink>
        </w:p>
        <w:p w14:paraId="621225CD" w14:textId="743BA5CA" w:rsidR="00DA2B5D" w:rsidRDefault="00000000" w:rsidP="00DA2B5D">
          <w:pPr>
            <w:pStyle w:val="TOC2"/>
            <w:tabs>
              <w:tab w:val="right" w:leader="dot" w:pos="9350"/>
            </w:tabs>
            <w:spacing w:line="240" w:lineRule="auto"/>
            <w:rPr>
              <w:noProof/>
              <w:kern w:val="0"/>
              <w:sz w:val="22"/>
              <w:szCs w:val="22"/>
              <w:lang w:eastAsia="en-US"/>
            </w:rPr>
          </w:pPr>
          <w:hyperlink w:anchor="_Toc110602316" w:history="1">
            <w:r w:rsidR="00DA2B5D" w:rsidRPr="00E118A8">
              <w:rPr>
                <w:rStyle w:val="Hyperlink"/>
                <w:noProof/>
              </w:rPr>
              <w:t>Cost Management</w:t>
            </w:r>
            <w:r w:rsidR="00DA2B5D">
              <w:rPr>
                <w:noProof/>
                <w:webHidden/>
              </w:rPr>
              <w:tab/>
            </w:r>
            <w:r w:rsidR="00DA2B5D">
              <w:rPr>
                <w:noProof/>
                <w:webHidden/>
              </w:rPr>
              <w:fldChar w:fldCharType="begin"/>
            </w:r>
            <w:r w:rsidR="00DA2B5D">
              <w:rPr>
                <w:noProof/>
                <w:webHidden/>
              </w:rPr>
              <w:instrText xml:space="preserve"> PAGEREF _Toc110602316 \h </w:instrText>
            </w:r>
            <w:r w:rsidR="00DA2B5D">
              <w:rPr>
                <w:noProof/>
                <w:webHidden/>
              </w:rPr>
            </w:r>
            <w:r w:rsidR="00DA2B5D">
              <w:rPr>
                <w:noProof/>
                <w:webHidden/>
              </w:rPr>
              <w:fldChar w:fldCharType="separate"/>
            </w:r>
            <w:r w:rsidR="006478EE">
              <w:rPr>
                <w:noProof/>
                <w:webHidden/>
              </w:rPr>
              <w:t>15</w:t>
            </w:r>
            <w:r w:rsidR="00DA2B5D">
              <w:rPr>
                <w:noProof/>
                <w:webHidden/>
              </w:rPr>
              <w:fldChar w:fldCharType="end"/>
            </w:r>
          </w:hyperlink>
        </w:p>
        <w:p w14:paraId="6D41143E" w14:textId="089AE2EF" w:rsidR="00DA2B5D" w:rsidRDefault="00000000" w:rsidP="00DA2B5D">
          <w:pPr>
            <w:pStyle w:val="TOC1"/>
            <w:rPr>
              <w:noProof/>
              <w:kern w:val="0"/>
              <w:sz w:val="22"/>
              <w:szCs w:val="22"/>
              <w:lang w:eastAsia="en-US"/>
            </w:rPr>
          </w:pPr>
          <w:hyperlink w:anchor="_Toc110602317" w:history="1">
            <w:r w:rsidR="00DA2B5D" w:rsidRPr="00E118A8">
              <w:rPr>
                <w:rStyle w:val="Hyperlink"/>
                <w:noProof/>
              </w:rPr>
              <w:t>Findings and Recommendations</w:t>
            </w:r>
            <w:r w:rsidR="00DA2B5D">
              <w:rPr>
                <w:noProof/>
                <w:webHidden/>
              </w:rPr>
              <w:tab/>
            </w:r>
            <w:r w:rsidR="00DA2B5D">
              <w:rPr>
                <w:noProof/>
                <w:webHidden/>
              </w:rPr>
              <w:fldChar w:fldCharType="begin"/>
            </w:r>
            <w:r w:rsidR="00DA2B5D">
              <w:rPr>
                <w:noProof/>
                <w:webHidden/>
              </w:rPr>
              <w:instrText xml:space="preserve"> PAGEREF _Toc110602317 \h </w:instrText>
            </w:r>
            <w:r w:rsidR="00DA2B5D">
              <w:rPr>
                <w:noProof/>
                <w:webHidden/>
              </w:rPr>
            </w:r>
            <w:r w:rsidR="00DA2B5D">
              <w:rPr>
                <w:noProof/>
                <w:webHidden/>
              </w:rPr>
              <w:fldChar w:fldCharType="separate"/>
            </w:r>
            <w:r w:rsidR="006478EE">
              <w:rPr>
                <w:noProof/>
                <w:webHidden/>
              </w:rPr>
              <w:t>15</w:t>
            </w:r>
            <w:r w:rsidR="00DA2B5D">
              <w:rPr>
                <w:noProof/>
                <w:webHidden/>
              </w:rPr>
              <w:fldChar w:fldCharType="end"/>
            </w:r>
          </w:hyperlink>
        </w:p>
        <w:p w14:paraId="74B28881" w14:textId="267D920E" w:rsidR="00DA2B5D" w:rsidRDefault="00000000" w:rsidP="00DA2B5D">
          <w:pPr>
            <w:pStyle w:val="TOC2"/>
            <w:tabs>
              <w:tab w:val="right" w:leader="dot" w:pos="9350"/>
            </w:tabs>
            <w:spacing w:line="240" w:lineRule="auto"/>
            <w:rPr>
              <w:noProof/>
              <w:kern w:val="0"/>
              <w:sz w:val="22"/>
              <w:szCs w:val="22"/>
              <w:lang w:eastAsia="en-US"/>
            </w:rPr>
          </w:pPr>
          <w:hyperlink w:anchor="_Toc110602318" w:history="1">
            <w:r w:rsidR="00DA2B5D" w:rsidRPr="00E118A8">
              <w:rPr>
                <w:rStyle w:val="Hyperlink"/>
                <w:noProof/>
              </w:rPr>
              <w:t>Findings</w:t>
            </w:r>
            <w:r w:rsidR="00DA2B5D">
              <w:rPr>
                <w:noProof/>
                <w:webHidden/>
              </w:rPr>
              <w:tab/>
            </w:r>
            <w:r w:rsidR="00DA2B5D">
              <w:rPr>
                <w:noProof/>
                <w:webHidden/>
              </w:rPr>
              <w:fldChar w:fldCharType="begin"/>
            </w:r>
            <w:r w:rsidR="00DA2B5D">
              <w:rPr>
                <w:noProof/>
                <w:webHidden/>
              </w:rPr>
              <w:instrText xml:space="preserve"> PAGEREF _Toc110602318 \h </w:instrText>
            </w:r>
            <w:r w:rsidR="00DA2B5D">
              <w:rPr>
                <w:noProof/>
                <w:webHidden/>
              </w:rPr>
            </w:r>
            <w:r w:rsidR="00DA2B5D">
              <w:rPr>
                <w:noProof/>
                <w:webHidden/>
              </w:rPr>
              <w:fldChar w:fldCharType="separate"/>
            </w:r>
            <w:r w:rsidR="006478EE">
              <w:rPr>
                <w:noProof/>
                <w:webHidden/>
              </w:rPr>
              <w:t>16</w:t>
            </w:r>
            <w:r w:rsidR="00DA2B5D">
              <w:rPr>
                <w:noProof/>
                <w:webHidden/>
              </w:rPr>
              <w:fldChar w:fldCharType="end"/>
            </w:r>
          </w:hyperlink>
        </w:p>
        <w:p w14:paraId="002BB1FB" w14:textId="52119F7F" w:rsidR="00DA2B5D" w:rsidRDefault="00000000" w:rsidP="00DA2B5D">
          <w:pPr>
            <w:pStyle w:val="TOC2"/>
            <w:tabs>
              <w:tab w:val="right" w:leader="dot" w:pos="9350"/>
            </w:tabs>
            <w:spacing w:line="240" w:lineRule="auto"/>
            <w:rPr>
              <w:noProof/>
              <w:kern w:val="0"/>
              <w:sz w:val="22"/>
              <w:szCs w:val="22"/>
              <w:lang w:eastAsia="en-US"/>
            </w:rPr>
          </w:pPr>
          <w:hyperlink w:anchor="_Toc110602319" w:history="1">
            <w:r w:rsidR="00DA2B5D" w:rsidRPr="00E118A8">
              <w:rPr>
                <w:rStyle w:val="Hyperlink"/>
                <w:noProof/>
              </w:rPr>
              <w:t>Recommendations</w:t>
            </w:r>
            <w:r w:rsidR="00DA2B5D">
              <w:rPr>
                <w:noProof/>
                <w:webHidden/>
              </w:rPr>
              <w:tab/>
            </w:r>
            <w:r w:rsidR="00DA2B5D">
              <w:rPr>
                <w:noProof/>
                <w:webHidden/>
              </w:rPr>
              <w:fldChar w:fldCharType="begin"/>
            </w:r>
            <w:r w:rsidR="00DA2B5D">
              <w:rPr>
                <w:noProof/>
                <w:webHidden/>
              </w:rPr>
              <w:instrText xml:space="preserve"> PAGEREF _Toc110602319 \h </w:instrText>
            </w:r>
            <w:r w:rsidR="00DA2B5D">
              <w:rPr>
                <w:noProof/>
                <w:webHidden/>
              </w:rPr>
            </w:r>
            <w:r w:rsidR="00DA2B5D">
              <w:rPr>
                <w:noProof/>
                <w:webHidden/>
              </w:rPr>
              <w:fldChar w:fldCharType="separate"/>
            </w:r>
            <w:r w:rsidR="006478EE">
              <w:rPr>
                <w:noProof/>
                <w:webHidden/>
              </w:rPr>
              <w:t>16</w:t>
            </w:r>
            <w:r w:rsidR="00DA2B5D">
              <w:rPr>
                <w:noProof/>
                <w:webHidden/>
              </w:rPr>
              <w:fldChar w:fldCharType="end"/>
            </w:r>
          </w:hyperlink>
        </w:p>
        <w:p w14:paraId="27579A11" w14:textId="1C987810" w:rsidR="00DA2B5D" w:rsidRDefault="00000000" w:rsidP="00DA2B5D">
          <w:pPr>
            <w:pStyle w:val="TOC1"/>
            <w:rPr>
              <w:noProof/>
              <w:kern w:val="0"/>
              <w:sz w:val="22"/>
              <w:szCs w:val="22"/>
              <w:lang w:eastAsia="en-US"/>
            </w:rPr>
          </w:pPr>
          <w:hyperlink w:anchor="_Toc110602320" w:history="1">
            <w:r w:rsidR="00DA2B5D" w:rsidRPr="00E118A8">
              <w:rPr>
                <w:rStyle w:val="Hyperlink"/>
                <w:noProof/>
              </w:rPr>
              <w:t>References</w:t>
            </w:r>
            <w:r w:rsidR="00DA2B5D">
              <w:rPr>
                <w:noProof/>
                <w:webHidden/>
              </w:rPr>
              <w:tab/>
            </w:r>
            <w:r w:rsidR="00DA2B5D">
              <w:rPr>
                <w:noProof/>
                <w:webHidden/>
              </w:rPr>
              <w:fldChar w:fldCharType="begin"/>
            </w:r>
            <w:r w:rsidR="00DA2B5D">
              <w:rPr>
                <w:noProof/>
                <w:webHidden/>
              </w:rPr>
              <w:instrText xml:space="preserve"> PAGEREF _Toc110602320 \h </w:instrText>
            </w:r>
            <w:r w:rsidR="00DA2B5D">
              <w:rPr>
                <w:noProof/>
                <w:webHidden/>
              </w:rPr>
            </w:r>
            <w:r w:rsidR="00DA2B5D">
              <w:rPr>
                <w:noProof/>
                <w:webHidden/>
              </w:rPr>
              <w:fldChar w:fldCharType="separate"/>
            </w:r>
            <w:r w:rsidR="006478EE">
              <w:rPr>
                <w:noProof/>
                <w:webHidden/>
              </w:rPr>
              <w:t>18</w:t>
            </w:r>
            <w:r w:rsidR="00DA2B5D">
              <w:rPr>
                <w:noProof/>
                <w:webHidden/>
              </w:rPr>
              <w:fldChar w:fldCharType="end"/>
            </w:r>
          </w:hyperlink>
        </w:p>
        <w:p w14:paraId="39009586" w14:textId="66BE3446" w:rsidR="00F0205D" w:rsidRDefault="00F0205D" w:rsidP="00DA2B5D">
          <w:pPr>
            <w:spacing w:line="240" w:lineRule="auto"/>
          </w:pPr>
          <w:r>
            <w:rPr>
              <w:b/>
              <w:bCs/>
              <w:noProof/>
            </w:rPr>
            <w:fldChar w:fldCharType="end"/>
          </w:r>
        </w:p>
      </w:sdtContent>
    </w:sdt>
    <w:p w14:paraId="22A16F81" w14:textId="77777777" w:rsidR="00E14AF2" w:rsidRDefault="00E14AF2" w:rsidP="00041F05"/>
    <w:bookmarkStart w:id="1" w:name="_Toc110602298"/>
    <w:p w14:paraId="5E7B0017" w14:textId="23DA38E3" w:rsidR="00E81978" w:rsidRPr="00F0205D" w:rsidRDefault="00000000">
      <w:pPr>
        <w:pStyle w:val="SectionTitle"/>
      </w:pPr>
      <w:sdt>
        <w:sdtPr>
          <w:alias w:val="Section title:"/>
          <w:tag w:val="Section title:"/>
          <w:id w:val="984196707"/>
          <w:placeholder>
            <w:docPart w:val="74F67D7E77DF4247B7FB8C859C5A676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B50F68">
            <w:t>Cloud Migration: Fundamentals and Challenges</w:t>
          </w:r>
        </w:sdtContent>
      </w:sdt>
      <w:bookmarkEnd w:id="1"/>
    </w:p>
    <w:p w14:paraId="2FBF5257" w14:textId="27C4DC9F" w:rsidR="00E81978" w:rsidRDefault="00347D25" w:rsidP="00A30E8A">
      <w:r>
        <w:t xml:space="preserve">Information Technology (IT) has </w:t>
      </w:r>
      <w:r w:rsidR="00F823D1">
        <w:t xml:space="preserve">enabled </w:t>
      </w:r>
      <w:r w:rsidR="008346B2">
        <w:t xml:space="preserve">organizations </w:t>
      </w:r>
      <w:r w:rsidR="00AF742B">
        <w:t xml:space="preserve">to </w:t>
      </w:r>
      <w:r w:rsidR="008346B2">
        <w:t xml:space="preserve">look </w:t>
      </w:r>
      <w:r w:rsidR="00EF65B5">
        <w:t xml:space="preserve">for new and innovative ways </w:t>
      </w:r>
      <w:r w:rsidR="008346B2">
        <w:t xml:space="preserve">to </w:t>
      </w:r>
      <w:r w:rsidR="00EF65B5">
        <w:t xml:space="preserve">integrate technology </w:t>
      </w:r>
      <w:r w:rsidR="00BC2B0C">
        <w:t xml:space="preserve">into their business services, operations, and processes </w:t>
      </w:r>
      <w:r w:rsidR="00EF65B5">
        <w:t xml:space="preserve">to enhance their ability to </w:t>
      </w:r>
      <w:r w:rsidR="00F823D1">
        <w:t>achieve organizational goals and improve profitability and efficiency</w:t>
      </w:r>
      <w:r>
        <w:t xml:space="preserve">. </w:t>
      </w:r>
      <w:r w:rsidR="00F823D1">
        <w:t>Today’s most successful organizations rel</w:t>
      </w:r>
      <w:r w:rsidR="001F16CC">
        <w:t>y heavily on IT resources to provide new capabilities and op</w:t>
      </w:r>
      <w:r w:rsidR="00893F56">
        <w:t xml:space="preserve">portunities for growth. </w:t>
      </w:r>
      <w:r w:rsidR="00DD31E5">
        <w:t xml:space="preserve">It is not uncommon for many businesses to leverage some form of data analytics or Artificial Intelligence and Machine Learning (AI/ML) to </w:t>
      </w:r>
      <w:r w:rsidR="00EE5A08">
        <w:t xml:space="preserve">identify business trends or make business predictions. </w:t>
      </w:r>
      <w:r w:rsidR="00383C0E">
        <w:t>Increased d</w:t>
      </w:r>
      <w:r w:rsidR="00F04679">
        <w:t>emand</w:t>
      </w:r>
      <w:r w:rsidR="00DD31E5">
        <w:t xml:space="preserve"> </w:t>
      </w:r>
      <w:r w:rsidR="00F04679">
        <w:t>for</w:t>
      </w:r>
      <w:r w:rsidR="00EE5A08">
        <w:t xml:space="preserve"> higher</w:t>
      </w:r>
      <w:r w:rsidR="00AF742B">
        <w:t>-</w:t>
      </w:r>
      <w:r w:rsidR="00EE5A08">
        <w:t xml:space="preserve">performing </w:t>
      </w:r>
      <w:r w:rsidR="00893F56">
        <w:t xml:space="preserve">IT </w:t>
      </w:r>
      <w:r w:rsidR="00F04679">
        <w:t xml:space="preserve">resources </w:t>
      </w:r>
      <w:r w:rsidR="00383C0E">
        <w:t>a</w:t>
      </w:r>
      <w:r w:rsidR="00AF742B">
        <w:t>nd substantial costs of managing and supporting on-premises data centers have</w:t>
      </w:r>
      <w:r w:rsidR="00502C52">
        <w:t xml:space="preserve"> driven many organizations to </w:t>
      </w:r>
      <w:r w:rsidR="00956CD2">
        <w:t>seek</w:t>
      </w:r>
      <w:r w:rsidR="00502C52">
        <w:t xml:space="preserve"> alternative methods of </w:t>
      </w:r>
      <w:r w:rsidR="003C610A">
        <w:t>obtaining cost-effective IT resources without the administrative overhead of managing their own data</w:t>
      </w:r>
      <w:r w:rsidR="00AF742B">
        <w:t xml:space="preserve"> </w:t>
      </w:r>
      <w:r w:rsidR="003C610A">
        <w:t>center.</w:t>
      </w:r>
      <w:r w:rsidR="00C4342B">
        <w:t xml:space="preserve"> As a result, many organizations have looked to Cloud Solutions Providers (CSPs)</w:t>
      </w:r>
      <w:r w:rsidR="00E31847">
        <w:t xml:space="preserve"> to meet their IT needs while minimizing costs</w:t>
      </w:r>
      <w:r w:rsidR="00A30E8A">
        <w:t xml:space="preserve">. As evidence of this move to </w:t>
      </w:r>
      <w:r w:rsidR="00AF742B">
        <w:t xml:space="preserve">the </w:t>
      </w:r>
      <w:r w:rsidR="00A30E8A">
        <w:t>cloud,</w:t>
      </w:r>
      <w:r w:rsidR="007D270C">
        <w:t xml:space="preserve"> technological research and consulting firm Gartner</w:t>
      </w:r>
      <w:r w:rsidR="00A30E8A">
        <w:t xml:space="preserve"> has forecasted worldwide spending on cloud infrastructure to grow by </w:t>
      </w:r>
      <w:r w:rsidR="001D2D1E">
        <w:t>20.4% in 2022</w:t>
      </w:r>
      <w:r w:rsidR="009F0741">
        <w:t xml:space="preserve"> to </w:t>
      </w:r>
      <w:r w:rsidR="008E66DD">
        <w:t xml:space="preserve">USD </w:t>
      </w:r>
      <w:r w:rsidR="009F0741">
        <w:t>494</w:t>
      </w:r>
      <w:r w:rsidR="008E66DD">
        <w:t xml:space="preserve">.65 Billion </w:t>
      </w:r>
      <w:sdt>
        <w:sdtPr>
          <w:id w:val="-1268000962"/>
          <w:citation/>
        </w:sdtPr>
        <w:sdtContent>
          <w:r w:rsidR="008E66DD">
            <w:fldChar w:fldCharType="begin"/>
          </w:r>
          <w:r w:rsidR="008E66DD">
            <w:instrText xml:space="preserve"> CITATION Meg22 \l 1033 </w:instrText>
          </w:r>
          <w:r w:rsidR="008E66DD">
            <w:fldChar w:fldCharType="separate"/>
          </w:r>
          <w:r w:rsidR="00073D79">
            <w:rPr>
              <w:noProof/>
            </w:rPr>
            <w:t>(Rimol, 2022)</w:t>
          </w:r>
          <w:r w:rsidR="008E66DD">
            <w:fldChar w:fldCharType="end"/>
          </w:r>
        </w:sdtContent>
      </w:sdt>
      <w:r w:rsidR="008E66DD">
        <w:t xml:space="preserve">. </w:t>
      </w:r>
      <w:r w:rsidR="00F17B07">
        <w:t>While there are</w:t>
      </w:r>
      <w:r w:rsidR="008E66DD">
        <w:t xml:space="preserve"> </w:t>
      </w:r>
      <w:r w:rsidR="002F1B4A">
        <w:t>significant opportunities for cost savings and growth</w:t>
      </w:r>
      <w:r w:rsidR="00FB5710">
        <w:t xml:space="preserve"> by</w:t>
      </w:r>
      <w:r w:rsidR="00575DAF">
        <w:t xml:space="preserve"> leveraging cloud solutions</w:t>
      </w:r>
      <w:r w:rsidR="002F1B4A">
        <w:t xml:space="preserve">, </w:t>
      </w:r>
      <w:r w:rsidR="00F17B07">
        <w:t>organizations seeking to capitalize on</w:t>
      </w:r>
      <w:r w:rsidR="00891BCB">
        <w:t xml:space="preserve"> cloud infrastructure need </w:t>
      </w:r>
      <w:r w:rsidR="00CE2D55">
        <w:t>to ensure they u</w:t>
      </w:r>
      <w:r w:rsidR="00891BCB">
        <w:t xml:space="preserve">nderstand </w:t>
      </w:r>
      <w:r w:rsidR="003A12CB">
        <w:t xml:space="preserve">available </w:t>
      </w:r>
      <w:r w:rsidR="00891BCB">
        <w:t>cloud services</w:t>
      </w:r>
      <w:r w:rsidR="006B7AA6">
        <w:t xml:space="preserve">, </w:t>
      </w:r>
      <w:r w:rsidR="00CB154F">
        <w:t>architectures</w:t>
      </w:r>
      <w:r w:rsidR="00CE2D55">
        <w:t xml:space="preserve">, </w:t>
      </w:r>
      <w:r w:rsidR="00CB154F">
        <w:t>core migration activities</w:t>
      </w:r>
      <w:r w:rsidR="00AF742B">
        <w:t>, and potential challenges.</w:t>
      </w:r>
      <w:r w:rsidR="00CB154F">
        <w:t xml:space="preserve"> </w:t>
      </w:r>
      <w:r w:rsidR="00E3774C">
        <w:t xml:space="preserve">A </w:t>
      </w:r>
      <w:r w:rsidR="00F17DB6">
        <w:t>firm</w:t>
      </w:r>
      <w:r w:rsidR="00E3774C">
        <w:t xml:space="preserve"> understanding of cloud solutions is key to a successful migration</w:t>
      </w:r>
      <w:r w:rsidR="00F547E3">
        <w:t>. D</w:t>
      </w:r>
      <w:r w:rsidR="00E3774C">
        <w:t>ue diligence</w:t>
      </w:r>
      <w:r w:rsidR="003A12CB">
        <w:t xml:space="preserve"> in requirements definition and planning</w:t>
      </w:r>
      <w:r w:rsidR="00E3774C">
        <w:t xml:space="preserve"> can significantly improve</w:t>
      </w:r>
      <w:r w:rsidR="00FB5710">
        <w:t xml:space="preserve"> strategy choices and the overall </w:t>
      </w:r>
      <w:r w:rsidR="00E3774C">
        <w:t>success of cloud design and workload migration.</w:t>
      </w:r>
    </w:p>
    <w:p w14:paraId="59C6A13B" w14:textId="1AD1679C" w:rsidR="00E81978" w:rsidRDefault="00B431F2">
      <w:pPr>
        <w:pStyle w:val="Heading1"/>
      </w:pPr>
      <w:bookmarkStart w:id="2" w:name="_Toc110602299"/>
      <w:r>
        <w:t xml:space="preserve">Cloud Fundamentals and </w:t>
      </w:r>
      <w:r w:rsidR="008446EA">
        <w:t>Services</w:t>
      </w:r>
      <w:bookmarkEnd w:id="2"/>
    </w:p>
    <w:p w14:paraId="3424352B" w14:textId="26854489" w:rsidR="00E81978" w:rsidRDefault="00641CE3">
      <w:r>
        <w:t xml:space="preserve">Cloud computing </w:t>
      </w:r>
      <w:r w:rsidR="00107DF5">
        <w:t>started</w:t>
      </w:r>
      <w:r>
        <w:t xml:space="preserve"> alongside the publicly available internet and was first used to describe the technology between end users and </w:t>
      </w:r>
      <w:r w:rsidR="00107DF5">
        <w:t>ISPs</w:t>
      </w:r>
      <w:r w:rsidR="009212F8">
        <w:t>.</w:t>
      </w:r>
      <w:r w:rsidR="00107DF5">
        <w:t xml:space="preserve"> </w:t>
      </w:r>
      <w:r w:rsidR="009212F8">
        <w:t>However, i</w:t>
      </w:r>
      <w:r w:rsidR="00107DF5">
        <w:t xml:space="preserve">t was not until the late 1990s and early 2000s </w:t>
      </w:r>
      <w:r w:rsidR="009212F8">
        <w:t>that</w:t>
      </w:r>
      <w:r w:rsidR="00107DF5">
        <w:t xml:space="preserve"> </w:t>
      </w:r>
      <w:r w:rsidR="002A1582">
        <w:t>technological advances</w:t>
      </w:r>
      <w:r w:rsidR="00107DF5">
        <w:t xml:space="preserve"> enabled </w:t>
      </w:r>
      <w:r w:rsidR="002A1582">
        <w:t>services similar to those we are familiar with no</w:t>
      </w:r>
      <w:r w:rsidR="00F547E3">
        <w:t>w, such as</w:t>
      </w:r>
      <w:r w:rsidR="009212F8">
        <w:t xml:space="preserve"> Salesforce and AWS</w:t>
      </w:r>
      <w:r w:rsidR="002A1582">
        <w:t>.</w:t>
      </w:r>
      <w:r w:rsidR="00107DF5">
        <w:t xml:space="preserve"> </w:t>
      </w:r>
      <w:r w:rsidR="002A1582">
        <w:t>Today’s c</w:t>
      </w:r>
      <w:r w:rsidR="00B45915">
        <w:t xml:space="preserve">loud computing has a unique vocabulary and functionality set </w:t>
      </w:r>
      <w:r w:rsidR="002A1582">
        <w:t xml:space="preserve">just </w:t>
      </w:r>
      <w:r w:rsidR="00B45915">
        <w:t xml:space="preserve">like many other IT </w:t>
      </w:r>
      <w:r w:rsidR="00757D00">
        <w:t>areas</w:t>
      </w:r>
      <w:r w:rsidR="00B45915">
        <w:t xml:space="preserve">. Understanding core concepts of cloud </w:t>
      </w:r>
      <w:r w:rsidR="00393E3E">
        <w:t xml:space="preserve">services </w:t>
      </w:r>
      <w:r w:rsidR="00B45915">
        <w:t xml:space="preserve">is fundamental to </w:t>
      </w:r>
      <w:r w:rsidR="00393E3E">
        <w:t xml:space="preserve">a successful migration. </w:t>
      </w:r>
    </w:p>
    <w:p w14:paraId="36E9808C" w14:textId="1A5E6B6E" w:rsidR="00AC65A7" w:rsidRDefault="00AC65A7" w:rsidP="00C31D30">
      <w:pPr>
        <w:pStyle w:val="Heading2"/>
      </w:pPr>
      <w:bookmarkStart w:id="3" w:name="_Toc110602300"/>
      <w:r>
        <w:t>Cloud Fundamentals</w:t>
      </w:r>
      <w:bookmarkEnd w:id="3"/>
    </w:p>
    <w:p w14:paraId="2EF0A122" w14:textId="4C611869" w:rsidR="00637095" w:rsidRDefault="002E2AA9" w:rsidP="00AC65A7">
      <w:r>
        <w:t>Cloud services</w:t>
      </w:r>
      <w:r w:rsidR="00F142D1">
        <w:t xml:space="preserve"> </w:t>
      </w:r>
      <w:r w:rsidR="00610D3C">
        <w:t xml:space="preserve">offered by a </w:t>
      </w:r>
      <w:r w:rsidR="00F142D1">
        <w:t>CSP</w:t>
      </w:r>
      <w:r w:rsidR="00610D3C">
        <w:t xml:space="preserve"> </w:t>
      </w:r>
      <w:r w:rsidR="00F142D1">
        <w:t xml:space="preserve">come in many different forms. </w:t>
      </w:r>
      <w:r w:rsidR="00393B70">
        <w:t>Most c</w:t>
      </w:r>
      <w:r w:rsidR="00F142D1">
        <w:t>ustomers</w:t>
      </w:r>
      <w:r w:rsidR="00DE399F">
        <w:t>, or tenants,</w:t>
      </w:r>
      <w:r w:rsidR="00F142D1">
        <w:t xml:space="preserve"> of a CSP</w:t>
      </w:r>
      <w:r w:rsidR="00DE399F">
        <w:t>,</w:t>
      </w:r>
      <w:r w:rsidR="00F142D1">
        <w:t xml:space="preserve"> </w:t>
      </w:r>
      <w:r w:rsidR="00393B70">
        <w:t>access their cloud services and resources using the internet or Wide Area Network (WAN) connectivity.</w:t>
      </w:r>
      <w:r w:rsidR="00637095">
        <w:t xml:space="preserve"> The main types of cloud computing are grouped into three </w:t>
      </w:r>
      <w:r w:rsidR="00C96E6E">
        <w:lastRenderedPageBreak/>
        <w:t>categories, public, private, and hybrid cloud. In a public cloud, organizations connect to cloud resources</w:t>
      </w:r>
      <w:r w:rsidR="00FE68D8">
        <w:t xml:space="preserve"> that may be co-located or shared with other organizations</w:t>
      </w:r>
      <w:r w:rsidR="00F547E3">
        <w:t xml:space="preserve"> via the internet</w:t>
      </w:r>
      <w:r w:rsidR="00FE68D8">
        <w:t xml:space="preserve">. In a </w:t>
      </w:r>
      <w:r w:rsidR="00F73ADB">
        <w:t>private cloud, the organization connects to a cloud environment explicitly dedicated to one organization</w:t>
      </w:r>
      <w:r w:rsidR="00BE5C11">
        <w:t>—f</w:t>
      </w:r>
      <w:r w:rsidR="00886E48">
        <w:t xml:space="preserve">inally, </w:t>
      </w:r>
      <w:r w:rsidR="00BE5C11">
        <w:t>organizations using a hybrid cloud mix both public and private cloud environments.</w:t>
      </w:r>
    </w:p>
    <w:p w14:paraId="53CB58C4" w14:textId="03F60DD2" w:rsidR="008446EA" w:rsidRDefault="008446EA" w:rsidP="008446EA">
      <w:pPr>
        <w:pStyle w:val="Heading2"/>
      </w:pPr>
      <w:bookmarkStart w:id="4" w:name="_Toc110602301"/>
      <w:r>
        <w:t>Cloud Services</w:t>
      </w:r>
      <w:bookmarkEnd w:id="4"/>
    </w:p>
    <w:p w14:paraId="09B87A82" w14:textId="71CA5F9A" w:rsidR="00AC65A7" w:rsidRDefault="00FD1B1E" w:rsidP="00AC65A7">
      <w:r>
        <w:t xml:space="preserve"> </w:t>
      </w:r>
      <w:r w:rsidR="009E1E3F">
        <w:t>Standard</w:t>
      </w:r>
      <w:r>
        <w:t xml:space="preserve"> services offered by CSPs include</w:t>
      </w:r>
      <w:r w:rsidR="009E1E3F">
        <w:t xml:space="preserve"> Infrastructure as a Service (Iaa</w:t>
      </w:r>
      <w:r w:rsidR="006E2065">
        <w:t>S</w:t>
      </w:r>
      <w:r w:rsidR="009E1E3F">
        <w:t xml:space="preserve">), </w:t>
      </w:r>
      <w:r w:rsidR="00C0503A">
        <w:t xml:space="preserve">Platform as a Service (PaaS), or Software as a Service (SaaS). In an IaaS environment, the customer </w:t>
      </w:r>
      <w:r w:rsidR="00C0059E">
        <w:t xml:space="preserve">leases hardware and </w:t>
      </w:r>
      <w:r w:rsidR="00C0503A">
        <w:t xml:space="preserve">receives access </w:t>
      </w:r>
      <w:r w:rsidR="00C0059E">
        <w:t xml:space="preserve">and connectivity </w:t>
      </w:r>
      <w:r w:rsidR="00C0503A">
        <w:t>to</w:t>
      </w:r>
      <w:r w:rsidR="002A036F">
        <w:t xml:space="preserve"> IT hardware</w:t>
      </w:r>
      <w:r w:rsidR="00A8775A">
        <w:t>,</w:t>
      </w:r>
      <w:r w:rsidR="002A036F">
        <w:t xml:space="preserve"> including servers, </w:t>
      </w:r>
      <w:r w:rsidR="00707AB5">
        <w:t>networking</w:t>
      </w:r>
      <w:r w:rsidR="00A8775A">
        <w:t xml:space="preserve"> equipment</w:t>
      </w:r>
      <w:r w:rsidR="00707AB5">
        <w:t>, and storage systems</w:t>
      </w:r>
      <w:r w:rsidR="00C0059E">
        <w:t>. In an IaaS environment, the customer is responsible for most of the system functionality</w:t>
      </w:r>
      <w:r w:rsidR="00C0059E" w:rsidRPr="00C0059E">
        <w:t xml:space="preserve"> </w:t>
      </w:r>
      <w:r w:rsidR="00C0059E">
        <w:t>and is free to configure and manage the devices as they see fit</w:t>
      </w:r>
      <w:r w:rsidR="00FD1F26">
        <w:t xml:space="preserve">. In a PaaS environment, customers receive access to a pre-provisioned service </w:t>
      </w:r>
      <w:r w:rsidR="00C0059E">
        <w:t xml:space="preserve">upon which they can install applications and services. </w:t>
      </w:r>
      <w:r w:rsidR="00265490">
        <w:t>PaaS systems managed by the CSP enable customers to</w:t>
      </w:r>
      <w:r w:rsidR="0073003F">
        <w:t xml:space="preserve"> reduce </w:t>
      </w:r>
      <w:r w:rsidR="00265490">
        <w:t>the resources required</w:t>
      </w:r>
      <w:r w:rsidR="00E52C58">
        <w:t xml:space="preserve"> to maintain the environment. </w:t>
      </w:r>
      <w:r w:rsidR="00900561">
        <w:t xml:space="preserve">In the SaaS model, the CSP manages and maintains all underlying functionality and provides access only to specific software </w:t>
      </w:r>
      <w:r w:rsidR="001434BD">
        <w:t>applications</w:t>
      </w:r>
      <w:r w:rsidR="00183DE7">
        <w:t xml:space="preserve"> affording businesses with access to vendor-made applications supporting business functions</w:t>
      </w:r>
      <w:r w:rsidR="00900561">
        <w:t>.</w:t>
      </w:r>
      <w:r w:rsidR="00265490">
        <w:t xml:space="preserve"> </w:t>
      </w:r>
    </w:p>
    <w:p w14:paraId="78A9E45F" w14:textId="503F4C94" w:rsidR="00A43C7B" w:rsidRDefault="00A43C7B" w:rsidP="00A43C7B">
      <w:pPr>
        <w:pStyle w:val="Heading1"/>
      </w:pPr>
      <w:bookmarkStart w:id="5" w:name="_Toc110602302"/>
      <w:r>
        <w:t xml:space="preserve">Cloud </w:t>
      </w:r>
      <w:r w:rsidR="000E5234">
        <w:t>Migration Process</w:t>
      </w:r>
      <w:bookmarkEnd w:id="5"/>
    </w:p>
    <w:p w14:paraId="1B8CE05D" w14:textId="77777777" w:rsidR="00CF7C05" w:rsidRDefault="00CF7C05" w:rsidP="00CF7C05">
      <w:pPr>
        <w:pStyle w:val="Heading2"/>
      </w:pPr>
      <w:bookmarkStart w:id="6" w:name="_Toc110602303"/>
      <w:r>
        <w:t>Planning</w:t>
      </w:r>
      <w:bookmarkEnd w:id="6"/>
    </w:p>
    <w:p w14:paraId="231125C6" w14:textId="211B9A67" w:rsidR="00BB6BAC" w:rsidRDefault="00BB6BAC" w:rsidP="00BB6BAC">
      <w:r>
        <w:t xml:space="preserve">Understanding organizational IT requirements and prior planning is key to minimizing the work required to implement a cloud solution. Ensuring cloud environment design considers </w:t>
      </w:r>
      <w:r w:rsidR="008454FA">
        <w:t>overall</w:t>
      </w:r>
      <w:r>
        <w:t xml:space="preserve"> business strategy and needs,</w:t>
      </w:r>
      <w:r w:rsidR="008454FA">
        <w:t xml:space="preserve"> </w:t>
      </w:r>
      <w:r>
        <w:t>IT services</w:t>
      </w:r>
      <w:r w:rsidR="008454FA">
        <w:t xml:space="preserve"> supporting</w:t>
      </w:r>
      <w:r w:rsidR="00340D4D">
        <w:t xml:space="preserve"> critical</w:t>
      </w:r>
      <w:r w:rsidR="008454FA">
        <w:t xml:space="preserve"> business processes, services</w:t>
      </w:r>
      <w:r>
        <w:t xml:space="preserve">, </w:t>
      </w:r>
      <w:r w:rsidR="00340D4D">
        <w:t xml:space="preserve">and activities </w:t>
      </w:r>
      <w:r>
        <w:t>before</w:t>
      </w:r>
      <w:r w:rsidR="003F532B">
        <w:t xml:space="preserve"> choosing a service or designing a cloud architecture </w:t>
      </w:r>
      <w:r>
        <w:t>maximizes an organization’s return on investment</w:t>
      </w:r>
      <w:r w:rsidR="00945228">
        <w:t xml:space="preserve"> (ROI)</w:t>
      </w:r>
      <w:r w:rsidR="003F532B">
        <w:t xml:space="preserve">. Furthermore, proper planning and analysis </w:t>
      </w:r>
      <w:r w:rsidR="00632BBE">
        <w:t xml:space="preserve">ensure cloud </w:t>
      </w:r>
      <w:r w:rsidR="009D24A9">
        <w:t xml:space="preserve">systems </w:t>
      </w:r>
      <w:r w:rsidR="00BE45DF">
        <w:t>adequately</w:t>
      </w:r>
      <w:r w:rsidR="009D24A9">
        <w:t xml:space="preserve"> support the demand and</w:t>
      </w:r>
      <w:r w:rsidR="00632BBE">
        <w:t xml:space="preserve"> growth</w:t>
      </w:r>
      <w:r w:rsidR="009D24A9">
        <w:t xml:space="preserve"> o</w:t>
      </w:r>
      <w:r w:rsidR="00074492">
        <w:t>f</w:t>
      </w:r>
      <w:r w:rsidR="009D24A9">
        <w:t xml:space="preserve"> each IT service and </w:t>
      </w:r>
      <w:r w:rsidR="003F532B">
        <w:t xml:space="preserve">reduce </w:t>
      </w:r>
      <w:r>
        <w:t xml:space="preserve">the likelihood of </w:t>
      </w:r>
      <w:r w:rsidR="006505A6">
        <w:t>gaps in functionality</w:t>
      </w:r>
      <w:r w:rsidR="008068B3">
        <w:t xml:space="preserve"> or</w:t>
      </w:r>
      <w:r w:rsidR="006505A6">
        <w:t xml:space="preserve"> performance, </w:t>
      </w:r>
      <w:r>
        <w:t>double work</w:t>
      </w:r>
      <w:r w:rsidR="003F532B">
        <w:t xml:space="preserve">, and </w:t>
      </w:r>
      <w:r>
        <w:t xml:space="preserve">unforeseen expenditures. </w:t>
      </w:r>
    </w:p>
    <w:p w14:paraId="788BF8D2" w14:textId="1F8A8D23" w:rsidR="00FA2AC7" w:rsidRDefault="00064642" w:rsidP="00FA2AC7">
      <w:pPr>
        <w:pStyle w:val="Heading3"/>
      </w:pPr>
      <w:bookmarkStart w:id="7" w:name="_Toc110602304"/>
      <w:r>
        <w:t>Functionality</w:t>
      </w:r>
      <w:r w:rsidR="000C0B5F">
        <w:t xml:space="preserve"> Review</w:t>
      </w:r>
      <w:bookmarkEnd w:id="7"/>
    </w:p>
    <w:p w14:paraId="53CD71CE" w14:textId="7B6BB021" w:rsidR="00064642" w:rsidRDefault="00064642" w:rsidP="00064642">
      <w:r>
        <w:t xml:space="preserve">The first step of defining the requirements of a cloud environment requires organizations to identify the system functionality and capability required. </w:t>
      </w:r>
      <w:r w:rsidR="00945228">
        <w:t>For example, t</w:t>
      </w:r>
      <w:r>
        <w:t>he needs of an organization developing applications</w:t>
      </w:r>
      <w:r w:rsidR="00067F3E">
        <w:t xml:space="preserve"> will</w:t>
      </w:r>
      <w:r>
        <w:t xml:space="preserve"> differ significantly from </w:t>
      </w:r>
      <w:r w:rsidR="00945228">
        <w:t>a business providing legal services</w:t>
      </w:r>
      <w:r>
        <w:t xml:space="preserve">. Before selecting a cloud service, organizations must identify </w:t>
      </w:r>
      <w:r w:rsidR="00067F3E">
        <w:t>business</w:t>
      </w:r>
      <w:r>
        <w:t xml:space="preserve"> functions, core processes, and activities and the core IT functions and services supporting each </w:t>
      </w:r>
      <w:r w:rsidR="003E4038">
        <w:t>area</w:t>
      </w:r>
      <w:r>
        <w:t xml:space="preserve">. This </w:t>
      </w:r>
      <w:r>
        <w:lastRenderedPageBreak/>
        <w:t>information can be obtained by reviewing the overall business strategy and documentation such as a Business Impact Analysis (BIA) or Business Continuity Plan (BCP).</w:t>
      </w:r>
      <w:r w:rsidR="00AA6BAD">
        <w:t xml:space="preserve"> Before moving forward with any cloud migration, i</w:t>
      </w:r>
      <w:r>
        <w:t xml:space="preserve">t is critical to understand the IT services required to support the organization’s overall strategy and functions. This understanding will help determine a cloud project’s </w:t>
      </w:r>
      <w:r w:rsidR="00900E95">
        <w:t>scope, timeline,</w:t>
      </w:r>
      <w:r>
        <w:t xml:space="preserve"> and budget and set the foundation for identifying system-level requirements for each IT service.</w:t>
      </w:r>
    </w:p>
    <w:p w14:paraId="3CFFDDE2" w14:textId="46122274" w:rsidR="00433271" w:rsidRDefault="00433271" w:rsidP="00433271">
      <w:pPr>
        <w:pStyle w:val="Heading3"/>
      </w:pPr>
      <w:bookmarkStart w:id="8" w:name="_Toc110602305"/>
      <w:r>
        <w:t>Environment Assessment</w:t>
      </w:r>
      <w:bookmarkEnd w:id="8"/>
    </w:p>
    <w:p w14:paraId="5CBF5818" w14:textId="6340317B" w:rsidR="007C5A63" w:rsidRPr="007C5A63" w:rsidRDefault="00BD0B4D" w:rsidP="007C5A63">
      <w:r>
        <w:t>Following an initial assessment of the business</w:t>
      </w:r>
      <w:r w:rsidR="00515E55">
        <w:t xml:space="preserve">'s core functions, services, and activities, the next step is identifying the high-level requirements for IT services supporting the organization and the type of workloads using IT services. This information is critical </w:t>
      </w:r>
      <w:r w:rsidR="00606746">
        <w:t>for</w:t>
      </w:r>
      <w:r w:rsidR="00515E55">
        <w:t xml:space="preserve"> mov</w:t>
      </w:r>
      <w:r w:rsidR="00606746">
        <w:t>ing</w:t>
      </w:r>
      <w:r w:rsidR="00515E55">
        <w:t xml:space="preserve"> forward with cloud migration planning as it helps drive the business case, </w:t>
      </w:r>
      <w:r w:rsidR="00880D1F">
        <w:t xml:space="preserve">determines </w:t>
      </w:r>
      <w:r w:rsidR="00515E55">
        <w:t xml:space="preserve">if the benefits </w:t>
      </w:r>
      <w:r w:rsidR="00606746">
        <w:t>of migration make sense from a time and resources standpoint</w:t>
      </w:r>
      <w:r w:rsidR="00515E55">
        <w:t xml:space="preserve">, and </w:t>
      </w:r>
      <w:r w:rsidR="00880D1F">
        <w:t>aids in establishing the scope of services to be migrated to the cloud.</w:t>
      </w:r>
      <w:r w:rsidR="00AA3B0C">
        <w:t xml:space="preserve">    </w:t>
      </w:r>
    </w:p>
    <w:p w14:paraId="2A926E8C" w14:textId="64A2553D" w:rsidR="006D706D" w:rsidRDefault="00D2428E" w:rsidP="006D706D">
      <w:pPr>
        <w:pStyle w:val="Heading4"/>
      </w:pPr>
      <w:r>
        <w:t>Busine</w:t>
      </w:r>
      <w:r w:rsidR="003E04D4">
        <w:t>s</w:t>
      </w:r>
      <w:r>
        <w:t>s Requirements</w:t>
      </w:r>
    </w:p>
    <w:p w14:paraId="090C9039" w14:textId="48276675" w:rsidR="00433271" w:rsidRDefault="00433271" w:rsidP="00433271">
      <w:r>
        <w:t>Using the organization’s core functions, practices, and activities identified in the use case and functionality review, an analysis determining the types of work performed to support each area is required. Identifying the types of work being performed using IT services further drives IT service requirements and can be leveraged to determine goals for cloud infrastructure, including identifying core hardware and software functionality, performance, and capacity. Common types of work include application development, web hosting, data analysis, artificial intelligence, and administrative business operations. Every kind of work leveraging IT services has unique performance, capacity, availability, reliability, and compliance requirements that must be considered.</w:t>
      </w:r>
    </w:p>
    <w:p w14:paraId="42059B12" w14:textId="77777777" w:rsidR="00433271" w:rsidRDefault="00433271" w:rsidP="00433271">
      <w:pPr>
        <w:pStyle w:val="Heading4"/>
      </w:pPr>
      <w:r>
        <w:t>Workload Types</w:t>
      </w:r>
    </w:p>
    <w:p w14:paraId="5D75BE26" w14:textId="46591B0A" w:rsidR="00433271" w:rsidRDefault="00433271" w:rsidP="00385FB7">
      <w:r>
        <w:t xml:space="preserve">Once IT services and the types of work performed using IT systems are defined, the next objective </w:t>
      </w:r>
      <w:r w:rsidR="00266424">
        <w:t>is</w:t>
      </w:r>
      <w:r>
        <w:t xml:space="preserve"> to determine </w:t>
      </w:r>
      <w:r w:rsidR="00266424">
        <w:t>system requirements</w:t>
      </w:r>
      <w:r>
        <w:t xml:space="preserve"> is identifying high-level system </w:t>
      </w:r>
      <w:r w:rsidR="00094C3F">
        <w:t>specifications</w:t>
      </w:r>
      <w:r>
        <w:t xml:space="preserve"> for each service, including hardware, software, connectivity, and security requirements. </w:t>
      </w:r>
      <w:r w:rsidR="00A1614F">
        <w:t>P</w:t>
      </w:r>
      <w:r>
        <w:t xml:space="preserve">ractical </w:t>
      </w:r>
      <w:r w:rsidR="004B337D">
        <w:t>analysis</w:t>
      </w:r>
      <w:r>
        <w:t xml:space="preserve"> of s</w:t>
      </w:r>
      <w:r w:rsidR="00BE77F3">
        <w:t>ystem</w:t>
      </w:r>
      <w:r>
        <w:t xml:space="preserve"> requirements should entail a review of any existing IT infrastructure and applications and consider the type of devices, i.e., servers, storage, and network connectivity, as well as any potential security configuration</w:t>
      </w:r>
      <w:r w:rsidR="00A1614F">
        <w:t xml:space="preserve"> or compliance</w:t>
      </w:r>
      <w:r>
        <w:t xml:space="preserve"> requirements. This review must also identify high availability, disaster recovery, redundancy, and continuity of operations </w:t>
      </w:r>
      <w:r>
        <w:lastRenderedPageBreak/>
        <w:t xml:space="preserve">requirements </w:t>
      </w:r>
      <w:r w:rsidR="0060433C">
        <w:t>to</w:t>
      </w:r>
      <w:r>
        <w:t xml:space="preserve"> identify</w:t>
      </w:r>
      <w:r w:rsidR="0060433C">
        <w:t xml:space="preserve"> configurations</w:t>
      </w:r>
      <w:r>
        <w:t xml:space="preserve"> required to align technology requirements with required service functionality. </w:t>
      </w:r>
      <w:r w:rsidR="00084D83">
        <w:t xml:space="preserve">A way to measure these requirements is by evaluating system and service requirements and establishing key performance indicators (KPIs) </w:t>
      </w:r>
      <w:r w:rsidR="004E7EDE">
        <w:t>that provide quantifiable metrics for each service</w:t>
      </w:r>
      <w:r w:rsidR="00084D83">
        <w:t xml:space="preserve">. </w:t>
      </w:r>
      <w:r>
        <w:t>Once each service has been mapped to high-level system requirements, a detailed review of the workloads performed on the system will identify the individual system requirements for each device supporting the IT service.</w:t>
      </w:r>
    </w:p>
    <w:p w14:paraId="590770D6" w14:textId="46A75377" w:rsidR="00B872FA" w:rsidRPr="00E1349D" w:rsidRDefault="004B6751" w:rsidP="004B6751">
      <w:pPr>
        <w:pStyle w:val="Heading4"/>
      </w:pPr>
      <w:r>
        <w:t>System Requirements</w:t>
      </w:r>
    </w:p>
    <w:p w14:paraId="15087F2C" w14:textId="5CEF5974" w:rsidR="00A43C7B" w:rsidRDefault="00A43C7B" w:rsidP="00A43C7B">
      <w:r>
        <w:t xml:space="preserve">With a broad understanding of the high-level </w:t>
      </w:r>
      <w:r w:rsidR="009B49A6">
        <w:t xml:space="preserve">operational </w:t>
      </w:r>
      <w:r>
        <w:t>requirements, detailed system-level requirements can be defined for each IT Service, including system hardware, networking, and storage specifications to meet system performance and capacity requirements. When performing a specification analysis, the organization must review each system's functionality</w:t>
      </w:r>
      <w:r w:rsidR="00E348D5">
        <w:t xml:space="preserve"> and application</w:t>
      </w:r>
      <w:r>
        <w:t xml:space="preserve"> requirements for CPU, GPU, memory, network, storage</w:t>
      </w:r>
      <w:r w:rsidR="004B1F0E">
        <w:t>, and operating system types</w:t>
      </w:r>
      <w:r>
        <w:t xml:space="preserve">. A method to achieve this is first to analyze the </w:t>
      </w:r>
      <w:r w:rsidR="00693C38">
        <w:t>kind</w:t>
      </w:r>
      <w:r>
        <w:t xml:space="preserve"> of work performed on each system, i.e., data processing, web services, or data storage, and then examine the requirements specifications for each application running on a device</w:t>
      </w:r>
      <w:r w:rsidR="00BA19A8">
        <w:t>. These requirements can be mapped to the KPI requirements defined during the workload assessment</w:t>
      </w:r>
      <w:r>
        <w:t>. Once the exact system specifications are determined, the organization should perform a holistic review of the overall requirements, including a review of potential bottlenecks to system and service performance, and identify any additional necessary system requirements for operation. Using each IT system’s detailed requirements, the organization can forecast additional requirements to support future growth and expansion within the IT environment.</w:t>
      </w:r>
    </w:p>
    <w:p w14:paraId="02037CC7" w14:textId="61EACD66" w:rsidR="00A43C7B" w:rsidRDefault="00A43C7B" w:rsidP="00A43C7B">
      <w:pPr>
        <w:pStyle w:val="Heading4"/>
      </w:pPr>
      <w:r>
        <w:t>Growth and Expansion</w:t>
      </w:r>
      <w:r w:rsidR="003E04D4">
        <w:t xml:space="preserve"> Requirements</w:t>
      </w:r>
    </w:p>
    <w:p w14:paraId="5AD67DD6" w14:textId="35EBB239" w:rsidR="00A43C7B" w:rsidRDefault="00A43C7B" w:rsidP="00A43C7B">
      <w:r>
        <w:t xml:space="preserve">Using the organization’s business strategy and identifying any potential </w:t>
      </w:r>
      <w:r w:rsidR="0007359B">
        <w:t xml:space="preserve">business </w:t>
      </w:r>
      <w:r>
        <w:t xml:space="preserve">growth </w:t>
      </w:r>
      <w:r w:rsidR="00744BE8">
        <w:t>relying</w:t>
      </w:r>
      <w:r>
        <w:t xml:space="preserve"> upon IT services, the organization must also ensure that IT service and system specifications consider additional deman</w:t>
      </w:r>
      <w:r w:rsidR="004B5D61">
        <w:t>d</w:t>
      </w:r>
      <w:r>
        <w:t xml:space="preserve"> that may result from business</w:t>
      </w:r>
      <w:r w:rsidR="00744BE8">
        <w:t xml:space="preserve"> or service</w:t>
      </w:r>
      <w:r>
        <w:t xml:space="preserve"> growth. An analysis of potential growth specifically must consider added system performance and capacity requirements to support the increased workload and forecast the timeframe in which new requirements will appear. </w:t>
      </w:r>
    </w:p>
    <w:p w14:paraId="71A666A3" w14:textId="597732D6" w:rsidR="00A43C7B" w:rsidRDefault="00A43C7B" w:rsidP="00B779F7">
      <w:pPr>
        <w:pStyle w:val="Heading3"/>
      </w:pPr>
      <w:bookmarkStart w:id="9" w:name="_Toc110602306"/>
      <w:r>
        <w:t>Strateg</w:t>
      </w:r>
      <w:r w:rsidR="00784367">
        <w:t>y</w:t>
      </w:r>
      <w:r w:rsidR="003F7134">
        <w:t xml:space="preserve"> Selection</w:t>
      </w:r>
      <w:bookmarkEnd w:id="9"/>
    </w:p>
    <w:p w14:paraId="2B7DAFB4" w14:textId="1B39292F" w:rsidR="004B1F0E" w:rsidRPr="004B1F0E" w:rsidRDefault="004B1F0E" w:rsidP="004B1F0E">
      <w:r>
        <w:t>Following a comprehensive evaluation of all</w:t>
      </w:r>
      <w:r w:rsidR="00093DB4">
        <w:t xml:space="preserve"> functional</w:t>
      </w:r>
      <w:r>
        <w:t xml:space="preserve"> requirements, a strategy for cloud migration can be developed. This strategy </w:t>
      </w:r>
      <w:r w:rsidR="00C8725F">
        <w:t>should</w:t>
      </w:r>
      <w:r w:rsidR="00120E6A">
        <w:t xml:space="preserve"> be</w:t>
      </w:r>
      <w:r>
        <w:t xml:space="preserve"> represented in a </w:t>
      </w:r>
      <w:r w:rsidR="00482D4C">
        <w:t xml:space="preserve">business case </w:t>
      </w:r>
      <w:r w:rsidR="0086494D">
        <w:t>that outlines</w:t>
      </w:r>
      <w:r w:rsidR="00482D4C">
        <w:t xml:space="preserve"> </w:t>
      </w:r>
      <w:r w:rsidR="00482D4C">
        <w:lastRenderedPageBreak/>
        <w:t xml:space="preserve">the </w:t>
      </w:r>
      <w:r w:rsidR="005837D6">
        <w:t xml:space="preserve">migration's </w:t>
      </w:r>
      <w:r w:rsidR="00482D4C">
        <w:t>scope</w:t>
      </w:r>
      <w:r w:rsidR="001C511C">
        <w:t xml:space="preserve">, </w:t>
      </w:r>
      <w:r w:rsidR="008C775F">
        <w:t>integration methodology</w:t>
      </w:r>
      <w:r w:rsidR="003E661D">
        <w:t>,</w:t>
      </w:r>
      <w:r w:rsidR="008C775F">
        <w:t xml:space="preserve"> identif</w:t>
      </w:r>
      <w:r w:rsidR="0086494D">
        <w:t>ies</w:t>
      </w:r>
      <w:r w:rsidR="008C775F">
        <w:t xml:space="preserve"> cloud technolog</w:t>
      </w:r>
      <w:r w:rsidR="0086494D">
        <w:t>y selections</w:t>
      </w:r>
      <w:r w:rsidR="001C511C">
        <w:t>,</w:t>
      </w:r>
      <w:r w:rsidR="008C775F">
        <w:t xml:space="preserve"> </w:t>
      </w:r>
      <w:r w:rsidR="00C93C21">
        <w:t>and establish</w:t>
      </w:r>
      <w:r w:rsidR="0086494D">
        <w:t>es</w:t>
      </w:r>
      <w:r w:rsidR="00C93C21">
        <w:t xml:space="preserve"> </w:t>
      </w:r>
      <w:r w:rsidR="00F318EB">
        <w:t xml:space="preserve">a </w:t>
      </w:r>
      <w:r w:rsidR="00C93C21">
        <w:t>timeline and budget</w:t>
      </w:r>
      <w:r w:rsidR="00A97AEC">
        <w:t xml:space="preserve"> for the migration</w:t>
      </w:r>
      <w:r w:rsidR="005837D6">
        <w:t xml:space="preserve">. </w:t>
      </w:r>
    </w:p>
    <w:p w14:paraId="095EAE19" w14:textId="77777777" w:rsidR="004B1F0E" w:rsidRDefault="004B1F0E" w:rsidP="00AA76E8">
      <w:pPr>
        <w:pStyle w:val="Heading4"/>
      </w:pPr>
      <w:r>
        <w:t>Business Case</w:t>
      </w:r>
    </w:p>
    <w:p w14:paraId="10499B73" w14:textId="0F9FB9B3" w:rsidR="004B1F0E" w:rsidRDefault="00AB02F3" w:rsidP="004B1F0E">
      <w:r>
        <w:t>With all</w:t>
      </w:r>
      <w:r w:rsidR="004B1F0E">
        <w:t xml:space="preserve"> preliminary assessment activities completed, a business case for each service and application evaluated for potential cloud migration </w:t>
      </w:r>
      <w:r w:rsidR="00F318EB">
        <w:t>is</w:t>
      </w:r>
      <w:r w:rsidR="004B1F0E">
        <w:t xml:space="preserve"> developed using </w:t>
      </w:r>
      <w:r w:rsidR="0031181E">
        <w:t xml:space="preserve">the </w:t>
      </w:r>
      <w:r w:rsidR="004B1F0E">
        <w:t xml:space="preserve">current business strategy and service requirements along with </w:t>
      </w:r>
      <w:r w:rsidR="00F318EB">
        <w:t>identified</w:t>
      </w:r>
      <w:r w:rsidR="004B1F0E">
        <w:t xml:space="preserve"> system requirements. Ideally, each business case should evaluate organizational </w:t>
      </w:r>
      <w:r w:rsidR="0031181E">
        <w:t>need</w:t>
      </w:r>
      <w:r w:rsidR="004B1F0E">
        <w:t xml:space="preserve">s with service offerings from a CSP and identify </w:t>
      </w:r>
      <w:r w:rsidR="0031181E">
        <w:t xml:space="preserve">the </w:t>
      </w:r>
      <w:r w:rsidR="004B1F0E">
        <w:t xml:space="preserve">improvement of operational capability, cost reduction, and technology </w:t>
      </w:r>
      <w:r w:rsidR="00F318EB">
        <w:t>capabilities</w:t>
      </w:r>
      <w:r w:rsidR="004B1F0E">
        <w:t xml:space="preserve">. </w:t>
      </w:r>
      <w:r w:rsidR="00351A24">
        <w:t xml:space="preserve">The business case should </w:t>
      </w:r>
      <w:r w:rsidR="003A3F9F">
        <w:t>provide decision-makers with a high-level overview of the benefits</w:t>
      </w:r>
      <w:r w:rsidR="00F318EB">
        <w:t xml:space="preserve">, </w:t>
      </w:r>
      <w:r w:rsidR="003A3F9F">
        <w:t>potential drawbacks</w:t>
      </w:r>
      <w:r w:rsidR="00F318EB">
        <w:t>, and risks</w:t>
      </w:r>
      <w:r w:rsidR="003A3F9F">
        <w:t xml:space="preserve"> of migrating</w:t>
      </w:r>
      <w:r w:rsidR="00F318EB">
        <w:t xml:space="preserve"> on-premises</w:t>
      </w:r>
      <w:r w:rsidR="003A3F9F">
        <w:t xml:space="preserve"> technology to the cloud</w:t>
      </w:r>
      <w:r w:rsidR="00193557">
        <w:t>.</w:t>
      </w:r>
    </w:p>
    <w:p w14:paraId="72DD3E40" w14:textId="49C7DA25" w:rsidR="004B1F0E" w:rsidRDefault="004B1F0E" w:rsidP="00305B5C">
      <w:pPr>
        <w:pStyle w:val="Heading4"/>
      </w:pPr>
      <w:r>
        <w:t>Scop</w:t>
      </w:r>
      <w:r w:rsidR="00AA76E8">
        <w:t>e Definition</w:t>
      </w:r>
    </w:p>
    <w:p w14:paraId="662A2FDD" w14:textId="0EFC8C61" w:rsidR="00784367" w:rsidRDefault="005D7E52" w:rsidP="00784367">
      <w:r>
        <w:t xml:space="preserve">Each business case should clearly define the scope of the IT service or application being evaluated and ensure that all necessary support systems are considered in establishing the cloud environment. This </w:t>
      </w:r>
      <w:r w:rsidR="004006F1">
        <w:t xml:space="preserve">consideration should </w:t>
      </w:r>
      <w:r>
        <w:t>include</w:t>
      </w:r>
      <w:r w:rsidR="004006F1">
        <w:t xml:space="preserve"> systems and services supporting common operations within an IT environment such as </w:t>
      </w:r>
      <w:r w:rsidR="007F626B">
        <w:t>routing and switching</w:t>
      </w:r>
      <w:r w:rsidR="004006F1">
        <w:t xml:space="preserve"> connectivity, </w:t>
      </w:r>
      <w:r w:rsidR="007F626B">
        <w:t xml:space="preserve">core services such as </w:t>
      </w:r>
      <w:r w:rsidR="004006F1">
        <w:t>DNS, DHCP, a</w:t>
      </w:r>
      <w:r w:rsidR="00A23E8D">
        <w:t>nd</w:t>
      </w:r>
      <w:r w:rsidR="004006F1">
        <w:t xml:space="preserve"> a security stack </w:t>
      </w:r>
      <w:r w:rsidR="007F626B">
        <w:t xml:space="preserve">including firewalls, </w:t>
      </w:r>
      <w:r w:rsidR="00A23E8D">
        <w:t xml:space="preserve">vulnerability, and endpoint protection </w:t>
      </w:r>
      <w:r w:rsidR="004006F1">
        <w:t>w</w:t>
      </w:r>
      <w:r w:rsidR="007F626B">
        <w:t>here necessary.</w:t>
      </w:r>
      <w:r w:rsidR="00A23E8D">
        <w:t xml:space="preserve"> </w:t>
      </w:r>
      <w:r w:rsidR="00856BDD">
        <w:t>A</w:t>
      </w:r>
      <w:r w:rsidR="00A23E8D">
        <w:t xml:space="preserve"> well-defined </w:t>
      </w:r>
      <w:r w:rsidR="00856BDD">
        <w:t xml:space="preserve">scope can help prevent budget and timeline overruns associated with missed requirements and scope creep. </w:t>
      </w:r>
    </w:p>
    <w:p w14:paraId="17BC81A4" w14:textId="0ACBE145" w:rsidR="00A43C7B" w:rsidRDefault="00784367" w:rsidP="00305B5C">
      <w:pPr>
        <w:pStyle w:val="Heading4"/>
      </w:pPr>
      <w:r>
        <w:t>Methodology</w:t>
      </w:r>
      <w:r w:rsidR="00AA76E8">
        <w:t xml:space="preserve"> Selection</w:t>
      </w:r>
    </w:p>
    <w:p w14:paraId="15B11259" w14:textId="1F8C5903" w:rsidR="00305B5C" w:rsidRPr="00305B5C" w:rsidRDefault="00305B5C" w:rsidP="00305B5C">
      <w:pPr>
        <w:pStyle w:val="Heading5"/>
      </w:pPr>
      <w:r>
        <w:t>Cloud Type and Services</w:t>
      </w:r>
    </w:p>
    <w:p w14:paraId="33B7E885" w14:textId="10038515" w:rsidR="00784367" w:rsidRDefault="00AA76E8" w:rsidP="00784367">
      <w:r>
        <w:t xml:space="preserve">After determining all business and system requirements, a cloud implementation methodology can be selected. </w:t>
      </w:r>
      <w:r w:rsidR="007672DB">
        <w:t>This methodology identifies the best-suited cloud type</w:t>
      </w:r>
      <w:r w:rsidR="00EC6C66">
        <w:t>,</w:t>
      </w:r>
      <w:r w:rsidR="007672DB">
        <w:t xml:space="preserve"> i.e., </w:t>
      </w:r>
      <w:r w:rsidR="00EC6C66">
        <w:t>public, private, or hybrid cloud, and the type of cloud services to be purchased</w:t>
      </w:r>
      <w:r w:rsidR="00E63F7A">
        <w:t>, i.e., IaaS, PaaS, SaaS, or any combination of the three</w:t>
      </w:r>
      <w:r w:rsidR="00EC6C66">
        <w:t>.</w:t>
      </w:r>
      <w:r w:rsidR="00E63F7A">
        <w:t xml:space="preserve"> This decision also must </w:t>
      </w:r>
      <w:r w:rsidR="00E242BD">
        <w:t>consider</w:t>
      </w:r>
      <w:r w:rsidR="00E63F7A">
        <w:t xml:space="preserve"> the approach that will be used to migrate services and systems to the cloud environment, i.e., a greenfield or </w:t>
      </w:r>
      <w:r w:rsidR="00B42B84">
        <w:t xml:space="preserve">brownfield approach. </w:t>
      </w:r>
      <w:r w:rsidR="00E242BD">
        <w:t>Using a greenfield approach, the organization designs and implements an entirely new environment with new technologies and architectures tailored to their current and future IT needs</w:t>
      </w:r>
      <w:r w:rsidR="003D0B89">
        <w:t xml:space="preserve">. Under a greenfield approach, </w:t>
      </w:r>
      <w:r w:rsidR="004F46FB">
        <w:t>organizations can refactor, revise, rebuild or replace technologies and devices using IaaS, PaaS, or SaaS to meet requirements</w:t>
      </w:r>
      <w:r w:rsidR="00E242BD">
        <w:t xml:space="preserve">. Organizations </w:t>
      </w:r>
      <w:r w:rsidR="003D0B89">
        <w:t xml:space="preserve">that </w:t>
      </w:r>
      <w:r w:rsidR="00E242BD">
        <w:t>use a brownfield approach</w:t>
      </w:r>
      <w:r w:rsidR="004F46FB">
        <w:t xml:space="preserve"> </w:t>
      </w:r>
      <w:r w:rsidR="00BD0653">
        <w:t xml:space="preserve">by </w:t>
      </w:r>
      <w:r w:rsidR="003D0B89">
        <w:t>rehost</w:t>
      </w:r>
      <w:r w:rsidR="00BD0653">
        <w:t>ing</w:t>
      </w:r>
      <w:r w:rsidR="003D0B89">
        <w:t xml:space="preserve"> or lift</w:t>
      </w:r>
      <w:r w:rsidR="00BD0653">
        <w:t xml:space="preserve">ing </w:t>
      </w:r>
      <w:r w:rsidR="003D0B89">
        <w:t>and shift</w:t>
      </w:r>
      <w:r w:rsidR="00BD0653">
        <w:t xml:space="preserve">ing systems </w:t>
      </w:r>
      <w:r w:rsidR="003D0B89">
        <w:t xml:space="preserve">to the cloud typically </w:t>
      </w:r>
      <w:r w:rsidR="003F7490">
        <w:t xml:space="preserve">choose </w:t>
      </w:r>
      <w:r w:rsidR="003D0B89">
        <w:t>IaaS cloud services</w:t>
      </w:r>
      <w:r w:rsidR="003F7490">
        <w:t xml:space="preserve"> to mimic their existing data center environmen</w:t>
      </w:r>
      <w:r w:rsidR="00CE29CE">
        <w:t xml:space="preserve">t. If cloud services are chosen </w:t>
      </w:r>
      <w:r w:rsidR="00CE29CE">
        <w:lastRenderedPageBreak/>
        <w:t xml:space="preserve">correctly, they allow organizations to </w:t>
      </w:r>
      <w:r w:rsidR="001335D3">
        <w:t xml:space="preserve">capitalize on substantial reductions </w:t>
      </w:r>
      <w:r w:rsidR="00602DDB">
        <w:t>in</w:t>
      </w:r>
      <w:r w:rsidR="001335D3">
        <w:t xml:space="preserve"> data</w:t>
      </w:r>
      <w:r w:rsidR="00602DDB">
        <w:t xml:space="preserve"> </w:t>
      </w:r>
      <w:r w:rsidR="001335D3">
        <w:t xml:space="preserve">center </w:t>
      </w:r>
      <w:r w:rsidR="00602DDB">
        <w:t xml:space="preserve">facilities, system </w:t>
      </w:r>
      <w:r w:rsidR="001335D3">
        <w:t xml:space="preserve">maintenance, </w:t>
      </w:r>
      <w:r w:rsidR="00602DDB">
        <w:t>and IT overhead</w:t>
      </w:r>
      <w:r w:rsidR="00F009FA">
        <w:t>. Reducing IT costs and overhead enables</w:t>
      </w:r>
      <w:r w:rsidR="00067B28">
        <w:t xml:space="preserve"> organizations to focus on their primary business objectives instead of running a full-scale IT operation</w:t>
      </w:r>
      <w:r w:rsidR="00F318EB">
        <w:t xml:space="preserve"> internally</w:t>
      </w:r>
      <w:r w:rsidR="00067B28">
        <w:t>.</w:t>
      </w:r>
      <w:r w:rsidR="009F5B7D">
        <w:t xml:space="preserve"> </w:t>
      </w:r>
    </w:p>
    <w:p w14:paraId="305C8E58" w14:textId="11EBD6FB" w:rsidR="00305B5C" w:rsidRDefault="00305B5C" w:rsidP="00305B5C">
      <w:pPr>
        <w:pStyle w:val="Heading5"/>
      </w:pPr>
      <w:r>
        <w:t>Cloud Service</w:t>
      </w:r>
      <w:r w:rsidR="0071268A">
        <w:t xml:space="preserve"> Elements</w:t>
      </w:r>
    </w:p>
    <w:p w14:paraId="3C8EF1CA" w14:textId="4A5DFE03" w:rsidR="00670AE3" w:rsidRDefault="005D2B05" w:rsidP="00305B5C">
      <w:r>
        <w:t>As</w:t>
      </w:r>
      <w:r w:rsidR="0071268A">
        <w:t xml:space="preserve"> IT services</w:t>
      </w:r>
      <w:r>
        <w:t xml:space="preserve"> are chosen for cloud migration</w:t>
      </w:r>
      <w:r w:rsidR="0071268A">
        <w:t>, it</w:t>
      </w:r>
      <w:r w:rsidR="003763FC">
        <w:t xml:space="preserve"> i</w:t>
      </w:r>
      <w:r w:rsidR="0071268A">
        <w:t xml:space="preserve">s </w:t>
      </w:r>
      <w:r>
        <w:t>essential</w:t>
      </w:r>
      <w:r w:rsidR="0071268A">
        <w:t xml:space="preserve"> to consider the overall operations of the cloud environment </w:t>
      </w:r>
      <w:r>
        <w:t>in the following areas, cloud security and compliance, architecture</w:t>
      </w:r>
      <w:r w:rsidR="004B2EAD" w:rsidRPr="004B2EAD">
        <w:t xml:space="preserve"> </w:t>
      </w:r>
      <w:r w:rsidR="004B2EAD">
        <w:t>and capabilities</w:t>
      </w:r>
      <w:r>
        <w:t xml:space="preserve">, </w:t>
      </w:r>
      <w:r w:rsidR="00C20630">
        <w:t xml:space="preserve">manageability, service levels, </w:t>
      </w:r>
      <w:r w:rsidR="004B2EAD">
        <w:t>support,</w:t>
      </w:r>
      <w:r w:rsidR="00C20630">
        <w:t xml:space="preserve"> and cost models </w:t>
      </w:r>
      <w:sdt>
        <w:sdtPr>
          <w:id w:val="1435554834"/>
          <w:citation/>
        </w:sdtPr>
        <w:sdtContent>
          <w:r w:rsidR="00C77BAF">
            <w:fldChar w:fldCharType="begin"/>
          </w:r>
          <w:r w:rsidR="00C77BAF">
            <w:instrText xml:space="preserve"> CITATION Thr22 \l 1033 </w:instrText>
          </w:r>
          <w:r w:rsidR="00C77BAF">
            <w:fldChar w:fldCharType="separate"/>
          </w:r>
          <w:r w:rsidR="00073D79">
            <w:rPr>
              <w:noProof/>
            </w:rPr>
            <w:t>(Threat Stack, 2022)</w:t>
          </w:r>
          <w:r w:rsidR="00C77BAF">
            <w:fldChar w:fldCharType="end"/>
          </w:r>
        </w:sdtContent>
      </w:sdt>
      <w:r w:rsidR="00C20630">
        <w:t xml:space="preserve">. </w:t>
      </w:r>
      <w:r w:rsidR="000928DF">
        <w:t xml:space="preserve">Each additional service </w:t>
      </w:r>
      <w:r w:rsidR="00F112FC">
        <w:t>can</w:t>
      </w:r>
      <w:r w:rsidR="000928DF">
        <w:t xml:space="preserve"> dramatically impact the cost of implementation or maintenance and influence the architecture or service selection based on the organization’s needs</w:t>
      </w:r>
      <w:r w:rsidR="00F112FC">
        <w:t xml:space="preserve"> and requirements</w:t>
      </w:r>
      <w:r w:rsidR="000928DF">
        <w:t xml:space="preserve">. </w:t>
      </w:r>
    </w:p>
    <w:p w14:paraId="765D2A8E" w14:textId="5914A96F" w:rsidR="00305B5C" w:rsidRDefault="00C77BAF" w:rsidP="00305B5C">
      <w:r>
        <w:t xml:space="preserve">Cloud security and compliance play a significant role for many organizations </w:t>
      </w:r>
      <w:r w:rsidR="00872A6A">
        <w:t>storing sensitive data, including Personal</w:t>
      </w:r>
      <w:r w:rsidR="00BF2E18">
        <w:t>ly</w:t>
      </w:r>
      <w:r w:rsidR="00872A6A">
        <w:t xml:space="preserve"> Identifiable Information (PII), P</w:t>
      </w:r>
      <w:r w:rsidR="00D85CD1">
        <w:t>rotected Health Information (PHI), Payment Card Information (PCI), business sensitive or confidential information, or information that falls under various federal, state, and local, government regulations</w:t>
      </w:r>
      <w:r w:rsidR="0030602A">
        <w:t xml:space="preserve">. These regulations </w:t>
      </w:r>
      <w:r w:rsidR="009E2A5A">
        <w:t xml:space="preserve">may apply within the organization’s country of origin and </w:t>
      </w:r>
      <w:r w:rsidR="0030602A">
        <w:t xml:space="preserve">any foreign nations where it </w:t>
      </w:r>
      <w:r w:rsidR="009E2A5A">
        <w:t>conducts business</w:t>
      </w:r>
      <w:r w:rsidR="00D85CD1">
        <w:t>.</w:t>
      </w:r>
      <w:r w:rsidR="00BD6DA7">
        <w:t xml:space="preserve"> Compliance may require co-locating data and not exporting or storing it outside specified </w:t>
      </w:r>
      <w:r w:rsidR="00957338">
        <w:t xml:space="preserve">national </w:t>
      </w:r>
      <w:r w:rsidR="00BD6DA7">
        <w:t xml:space="preserve">boundaries or specific </w:t>
      </w:r>
      <w:r w:rsidR="00957338">
        <w:t>system configurations and controls to ensure the data is adequately protected from disclosure.</w:t>
      </w:r>
      <w:r w:rsidR="00261929">
        <w:t xml:space="preserve"> These security and compliance </w:t>
      </w:r>
      <w:r w:rsidR="00670AE3">
        <w:t>requirements</w:t>
      </w:r>
      <w:r w:rsidR="00261929">
        <w:t xml:space="preserve"> can impact the overall cost of the solution and should be a primary</w:t>
      </w:r>
      <w:r w:rsidR="00670AE3">
        <w:t xml:space="preserve"> consideration for every cloud service selection. </w:t>
      </w:r>
    </w:p>
    <w:p w14:paraId="20A3A143" w14:textId="21BED659" w:rsidR="00B730D6" w:rsidRDefault="00B730D6" w:rsidP="00305B5C">
      <w:r>
        <w:t>Available architectures</w:t>
      </w:r>
      <w:r w:rsidR="0071062B">
        <w:t xml:space="preserve"> and capabilities</w:t>
      </w:r>
      <w:r>
        <w:t xml:space="preserve"> may vary </w:t>
      </w:r>
      <w:r w:rsidR="00501697">
        <w:t>significan</w:t>
      </w:r>
      <w:r>
        <w:t xml:space="preserve">tly </w:t>
      </w:r>
      <w:r w:rsidR="00501697">
        <w:t xml:space="preserve">from CSP to CSP, and additional perks for choosing a specific CSP to host a particular application or service may exist. There is also the potential for </w:t>
      </w:r>
      <w:r w:rsidR="00BF2E18">
        <w:t>vendor-specific</w:t>
      </w:r>
      <w:r w:rsidR="00501697">
        <w:t xml:space="preserve"> functionality to only be available from a particular CSP, which is particularly true for SaaS cloud services. A holistic approach to CSP selection should be taken to ensure that solutions are designed </w:t>
      </w:r>
      <w:r w:rsidR="002D674D">
        <w:t>considering each CSP's overall cost of services and capabilities. In some scenarios, it may make sense to</w:t>
      </w:r>
      <w:r w:rsidR="004314A8">
        <w:t xml:space="preserve"> utilize a best-in-class hybrid approach to obtain all necessary abilities at the best price</w:t>
      </w:r>
      <w:r w:rsidR="00744BB5">
        <w:t>. H</w:t>
      </w:r>
      <w:r w:rsidR="004314A8">
        <w:t xml:space="preserve">owever, when leveraging multiple CSPs, </w:t>
      </w:r>
      <w:r w:rsidR="00744BB5">
        <w:t xml:space="preserve">special consideration should be given to </w:t>
      </w:r>
      <w:r w:rsidR="001E2FDA">
        <w:t>identify and minimize</w:t>
      </w:r>
      <w:r w:rsidR="004314A8">
        <w:t xml:space="preserve"> potential bottlenecks and the cost </w:t>
      </w:r>
      <w:r w:rsidR="00336710">
        <w:t xml:space="preserve">associated with </w:t>
      </w:r>
      <w:r w:rsidR="004314A8">
        <w:t>moving data from provider to provider.</w:t>
      </w:r>
    </w:p>
    <w:p w14:paraId="6F1822C6" w14:textId="38FBA23A" w:rsidR="00744BB5" w:rsidRDefault="00762729" w:rsidP="00305B5C">
      <w:r>
        <w:t>Another</w:t>
      </w:r>
      <w:r w:rsidR="00933625">
        <w:t xml:space="preserve"> cloud service element that must be considered is the overall management </w:t>
      </w:r>
      <w:r w:rsidR="00CD0FD0">
        <w:t xml:space="preserve">and manageability of the cloud environment. </w:t>
      </w:r>
      <w:r w:rsidR="004F4A96">
        <w:t>Control</w:t>
      </w:r>
      <w:r w:rsidR="000B1F20">
        <w:t xml:space="preserve"> of the cloud environment </w:t>
      </w:r>
      <w:r w:rsidR="00CD0FD0">
        <w:t xml:space="preserve">includes the </w:t>
      </w:r>
      <w:r w:rsidR="000B1F20">
        <w:lastRenderedPageBreak/>
        <w:t xml:space="preserve">ownership split for performing </w:t>
      </w:r>
      <w:r w:rsidR="004F4A96">
        <w:t>standard</w:t>
      </w:r>
      <w:r w:rsidR="000B1F20">
        <w:t xml:space="preserve"> administrative functions for the environment. </w:t>
      </w:r>
      <w:r w:rsidR="004F4A96">
        <w:t xml:space="preserve">Organizations must consider the overall level of involvement they intend to perform and decide what functionality they want the cloud service provider to </w:t>
      </w:r>
      <w:r w:rsidR="00AA0E9F">
        <w:t>be responsible for</w:t>
      </w:r>
      <w:r w:rsidR="004F4A96">
        <w:t xml:space="preserve">, ensuring that all required management functions are covered. </w:t>
      </w:r>
      <w:r w:rsidR="00882573">
        <w:t xml:space="preserve">Management activities may include </w:t>
      </w:r>
      <w:r w:rsidR="00B07DEA">
        <w:t xml:space="preserve">configuring and </w:t>
      </w:r>
      <w:r w:rsidR="00882573">
        <w:t xml:space="preserve">maintaining </w:t>
      </w:r>
      <w:r w:rsidR="00B07DEA">
        <w:t xml:space="preserve">network </w:t>
      </w:r>
      <w:r w:rsidR="00882573">
        <w:t>connectivity</w:t>
      </w:r>
      <w:r w:rsidR="006C59D4">
        <w:t>,</w:t>
      </w:r>
      <w:r w:rsidR="00B07DEA">
        <w:t xml:space="preserve"> installing,</w:t>
      </w:r>
      <w:r w:rsidR="00882573">
        <w:t xml:space="preserve"> configuring</w:t>
      </w:r>
      <w:r w:rsidR="00B07DEA">
        <w:t xml:space="preserve">, </w:t>
      </w:r>
      <w:r w:rsidR="006C59D4">
        <w:t xml:space="preserve">updating, </w:t>
      </w:r>
      <w:r w:rsidR="00B07DEA">
        <w:t>and maintaining</w:t>
      </w:r>
      <w:r w:rsidR="00882573">
        <w:t xml:space="preserve"> operating systems</w:t>
      </w:r>
      <w:r w:rsidR="006C59D4">
        <w:t>,</w:t>
      </w:r>
      <w:r w:rsidR="00B07DEA">
        <w:t xml:space="preserve"> </w:t>
      </w:r>
      <w:r w:rsidR="006C59D4">
        <w:t xml:space="preserve">and </w:t>
      </w:r>
      <w:r w:rsidR="00B07DEA">
        <w:t>vulnerabilit</w:t>
      </w:r>
      <w:r w:rsidR="006C59D4">
        <w:t>y</w:t>
      </w:r>
      <w:r w:rsidR="006C59D4" w:rsidRPr="006C59D4">
        <w:t xml:space="preserve"> </w:t>
      </w:r>
      <w:r w:rsidR="006C59D4">
        <w:t>remediation.</w:t>
      </w:r>
      <w:r w:rsidR="004E2A4E">
        <w:t xml:space="preserve"> Additionally, customers may consider purchasing </w:t>
      </w:r>
      <w:r w:rsidR="004154A1">
        <w:t xml:space="preserve">a </w:t>
      </w:r>
      <w:r w:rsidR="004E2A4E">
        <w:t>pre-configured environment</w:t>
      </w:r>
      <w:r w:rsidR="004154A1">
        <w:t xml:space="preserve"> </w:t>
      </w:r>
      <w:r w:rsidR="00AA0E9F">
        <w:t xml:space="preserve">or </w:t>
      </w:r>
      <w:r w:rsidR="004154A1">
        <w:t>using CSP or third-party consulting services</w:t>
      </w:r>
      <w:r w:rsidR="00DA2B5D">
        <w:t xml:space="preserve"> </w:t>
      </w:r>
      <w:r w:rsidR="00AA0E9F">
        <w:t xml:space="preserve">to create, </w:t>
      </w:r>
      <w:r w:rsidR="004154A1">
        <w:t>manag</w:t>
      </w:r>
      <w:r w:rsidR="00AA0E9F">
        <w:t>e,</w:t>
      </w:r>
      <w:r w:rsidR="004154A1">
        <w:t xml:space="preserve"> or </w:t>
      </w:r>
      <w:r w:rsidR="004E2A4E">
        <w:t>support</w:t>
      </w:r>
      <w:r w:rsidR="00AA0E9F">
        <w:t xml:space="preserve"> an environment</w:t>
      </w:r>
      <w:r w:rsidR="004E2A4E">
        <w:t xml:space="preserve">. </w:t>
      </w:r>
      <w:r w:rsidR="004154A1">
        <w:t>If third-party or consulting services</w:t>
      </w:r>
      <w:r w:rsidR="00AA0E9F">
        <w:t xml:space="preserve"> are leveraged for any portion of the project</w:t>
      </w:r>
      <w:r w:rsidR="004154A1">
        <w:t xml:space="preserve">, careful attention should be paid to </w:t>
      </w:r>
      <w:r w:rsidR="00D73672">
        <w:t>service level agreements (</w:t>
      </w:r>
      <w:r w:rsidR="004154A1">
        <w:t>SLA</w:t>
      </w:r>
      <w:r w:rsidR="00D73672">
        <w:t>s)</w:t>
      </w:r>
      <w:r w:rsidR="004154A1">
        <w:t xml:space="preserve"> and contractual </w:t>
      </w:r>
      <w:r w:rsidR="00AA0E9F">
        <w:t>agreements</w:t>
      </w:r>
      <w:r w:rsidR="004154A1">
        <w:t>. Organizations using CSP or third-party services s</w:t>
      </w:r>
      <w:r w:rsidR="00D877C8">
        <w:t xml:space="preserve">hould </w:t>
      </w:r>
      <w:r w:rsidR="004154A1">
        <w:t>also</w:t>
      </w:r>
      <w:r w:rsidR="00D877C8">
        <w:t xml:space="preserve"> carefully consider</w:t>
      </w:r>
      <w:r w:rsidR="004154A1">
        <w:t xml:space="preserve"> </w:t>
      </w:r>
      <w:r w:rsidR="00D877C8">
        <w:t>and align</w:t>
      </w:r>
      <w:r w:rsidR="004154A1">
        <w:t xml:space="preserve"> </w:t>
      </w:r>
      <w:r w:rsidR="008470A3">
        <w:t xml:space="preserve">ownership of </w:t>
      </w:r>
      <w:r w:rsidR="004154A1">
        <w:t xml:space="preserve">cloud environment management </w:t>
      </w:r>
      <w:r w:rsidR="00D877C8">
        <w:t>with operational and cost requirements.</w:t>
      </w:r>
    </w:p>
    <w:p w14:paraId="1C2227BF" w14:textId="5C1634B2" w:rsidR="00F34548" w:rsidRDefault="006F2861" w:rsidP="00305B5C">
      <w:r>
        <w:t xml:space="preserve">With IT systems no longer residing in an environment owned and managed </w:t>
      </w:r>
      <w:r w:rsidR="00286856">
        <w:t xml:space="preserve">internally, organizations must </w:t>
      </w:r>
      <w:r w:rsidR="00F143E4">
        <w:t>review and accept CSP and IT service provider SLAs to ensure that IT systems remain available, responsive, and provide</w:t>
      </w:r>
      <w:r w:rsidR="00E37C0E">
        <w:t xml:space="preserve"> adequate capacity and support. </w:t>
      </w:r>
      <w:r w:rsidR="00054406">
        <w:t xml:space="preserve">When choosing an SLA for a cloud service environment, </w:t>
      </w:r>
      <w:r w:rsidR="00D66E14">
        <w:t xml:space="preserve">organizations must consider that as SLA requirements get more demanding and less flexible, that cost will become a significant factor. </w:t>
      </w:r>
      <w:r w:rsidR="00F17AEC">
        <w:t xml:space="preserve">Another area in which SLAs become important is their impact </w:t>
      </w:r>
      <w:r w:rsidR="00395777">
        <w:t>on</w:t>
      </w:r>
      <w:r w:rsidR="00F17AEC">
        <w:t xml:space="preserve"> </w:t>
      </w:r>
      <w:r w:rsidR="00395777">
        <w:t xml:space="preserve">organizational compliance with security </w:t>
      </w:r>
      <w:r w:rsidR="00CD06E5">
        <w:t xml:space="preserve">frameworks, controls, </w:t>
      </w:r>
      <w:r w:rsidR="00395777">
        <w:t>and privacy regulations. SLAs may also define where data can and cannot be stored. As</w:t>
      </w:r>
      <w:r w:rsidR="00542428">
        <w:t xml:space="preserve"> such, the organization must</w:t>
      </w:r>
      <w:r w:rsidR="00395777">
        <w:t xml:space="preserve"> ensure that </w:t>
      </w:r>
      <w:r w:rsidR="00542428">
        <w:t>SLAs meet compliance requirements</w:t>
      </w:r>
      <w:r w:rsidR="00395777">
        <w:t xml:space="preserve"> and do not </w:t>
      </w:r>
      <w:r w:rsidR="00542428">
        <w:t xml:space="preserve">introduce the possibility </w:t>
      </w:r>
      <w:r w:rsidR="006B5C56">
        <w:t>of</w:t>
      </w:r>
      <w:r w:rsidR="00542428">
        <w:t xml:space="preserve"> legal lit</w:t>
      </w:r>
      <w:r w:rsidR="006B5C56">
        <w:t>i</w:t>
      </w:r>
      <w:r w:rsidR="00542428">
        <w:t>gation</w:t>
      </w:r>
      <w:r w:rsidR="00944D35">
        <w:t xml:space="preserve"> or unacceptable business operations disruption</w:t>
      </w:r>
      <w:r w:rsidR="00395777">
        <w:t>.</w:t>
      </w:r>
    </w:p>
    <w:p w14:paraId="05867EBA" w14:textId="7CB7506D" w:rsidR="00F34548" w:rsidRDefault="00224C8F" w:rsidP="00305B5C">
      <w:r>
        <w:t>While an SLA may define many aspects of support, ensuring adequate support fo</w:t>
      </w:r>
      <w:r w:rsidR="006B5C56">
        <w:t>r</w:t>
      </w:r>
      <w:r>
        <w:t xml:space="preserve"> the environment once established is paramount.</w:t>
      </w:r>
      <w:r w:rsidR="007E5ED8">
        <w:t xml:space="preserve"> Since cloud environments operate in another organization’s data center, inevitably, some form of support will be required. </w:t>
      </w:r>
      <w:r w:rsidR="006B5C56">
        <w:t xml:space="preserve">Everyday support activities may </w:t>
      </w:r>
      <w:r w:rsidR="007E5ED8">
        <w:t xml:space="preserve">include </w:t>
      </w:r>
      <w:r w:rsidR="008E667B">
        <w:t xml:space="preserve">adding or modifying services, troubleshooting connectivity or </w:t>
      </w:r>
      <w:r w:rsidR="0039638F">
        <w:t>hardware</w:t>
      </w:r>
      <w:r w:rsidR="008E667B">
        <w:t xml:space="preserve"> failures, or validating compliance configurations of the service provider. </w:t>
      </w:r>
      <w:r w:rsidR="006B5C56">
        <w:t>Identifying</w:t>
      </w:r>
      <w:r w:rsidR="008E667B">
        <w:t xml:space="preserve"> </w:t>
      </w:r>
      <w:r w:rsidR="008D4FE2">
        <w:t xml:space="preserve">necessary </w:t>
      </w:r>
      <w:r w:rsidR="006B5C56">
        <w:t>support services</w:t>
      </w:r>
      <w:r w:rsidR="008D4FE2">
        <w:t xml:space="preserve"> from the cloud service provider</w:t>
      </w:r>
      <w:r w:rsidR="00C020E3">
        <w:t xml:space="preserve"> will improve responses to outages and minimize system downtime.</w:t>
      </w:r>
      <w:r w:rsidR="008924B0">
        <w:t xml:space="preserve"> There are different strategies for obtaining support, including live </w:t>
      </w:r>
      <w:r w:rsidR="0039638F">
        <w:t>technical support via phone or chat</w:t>
      </w:r>
      <w:r w:rsidR="008924B0">
        <w:t>, email</w:t>
      </w:r>
      <w:r w:rsidR="006B5C56">
        <w:t>,</w:t>
      </w:r>
      <w:r w:rsidR="008924B0">
        <w:t xml:space="preserve"> or online ticketing, and dedicated support staff hours, each with </w:t>
      </w:r>
      <w:r w:rsidR="006B5C56">
        <w:t>its</w:t>
      </w:r>
      <w:r w:rsidR="008924B0">
        <w:t xml:space="preserve"> own cost and availability</w:t>
      </w:r>
      <w:r w:rsidR="006B5C56">
        <w:t xml:space="preserve"> models. Selecting the minimum model to meet </w:t>
      </w:r>
      <w:r w:rsidR="0039638F">
        <w:t>service</w:t>
      </w:r>
      <w:r w:rsidR="006B5C56">
        <w:t xml:space="preserve"> availability</w:t>
      </w:r>
      <w:r w:rsidR="0039638F">
        <w:t xml:space="preserve"> </w:t>
      </w:r>
      <w:r w:rsidR="006B5C56">
        <w:t xml:space="preserve">requirements </w:t>
      </w:r>
      <w:r w:rsidR="00990EAA">
        <w:t xml:space="preserve">can be used to </w:t>
      </w:r>
      <w:r w:rsidR="006B5C56">
        <w:t>maximize uptime while minimizing costs.</w:t>
      </w:r>
    </w:p>
    <w:p w14:paraId="0FBA6A85" w14:textId="080BE019" w:rsidR="00F34548" w:rsidRDefault="00E9231A" w:rsidP="00305B5C">
      <w:r>
        <w:lastRenderedPageBreak/>
        <w:t>Each element of the cloud strategy plays a significant role in determining the overall cost of the cloud solution</w:t>
      </w:r>
      <w:r w:rsidR="00802222">
        <w:t xml:space="preserve">; however, </w:t>
      </w:r>
      <w:r w:rsidR="00D02823">
        <w:t xml:space="preserve">a few more </w:t>
      </w:r>
      <w:r w:rsidR="00FC3D85">
        <w:t>considerations</w:t>
      </w:r>
      <w:r w:rsidR="00802222">
        <w:t xml:space="preserve"> may impact </w:t>
      </w:r>
      <w:r w:rsidR="00D02823">
        <w:t xml:space="preserve">the </w:t>
      </w:r>
      <w:r w:rsidR="00802222">
        <w:t>price.</w:t>
      </w:r>
      <w:r w:rsidR="00876A21">
        <w:t xml:space="preserve"> </w:t>
      </w:r>
      <w:r w:rsidR="00FC3D85">
        <w:t xml:space="preserve">The first </w:t>
      </w:r>
      <w:r w:rsidR="000C7D4F">
        <w:t xml:space="preserve">is the </w:t>
      </w:r>
      <w:r w:rsidR="002A406F">
        <w:t xml:space="preserve">size of the </w:t>
      </w:r>
      <w:r w:rsidR="000C7D4F">
        <w:t>CSP being used</w:t>
      </w:r>
      <w:r w:rsidR="002A406F">
        <w:t>. L</w:t>
      </w:r>
      <w:r w:rsidR="000C7D4F">
        <w:t>arger CSPs with a</w:t>
      </w:r>
      <w:r w:rsidR="002A406F">
        <w:t>n extensiv</w:t>
      </w:r>
      <w:r w:rsidR="000C7D4F">
        <w:t xml:space="preserve">e portfolio </w:t>
      </w:r>
      <w:r w:rsidR="002A406F">
        <w:t xml:space="preserve">and massive data centers </w:t>
      </w:r>
      <w:r w:rsidR="000C7D4F">
        <w:t xml:space="preserve">can </w:t>
      </w:r>
      <w:r w:rsidR="002A406F">
        <w:t xml:space="preserve">afford to </w:t>
      </w:r>
      <w:r w:rsidR="000C7D4F">
        <w:t xml:space="preserve">pass on savings opportunities for </w:t>
      </w:r>
      <w:r w:rsidR="002A406F">
        <w:t xml:space="preserve">each cloud component leveraging </w:t>
      </w:r>
      <w:r w:rsidR="000C7D4F">
        <w:t xml:space="preserve">economies of scale; however, they may charge more for </w:t>
      </w:r>
      <w:r w:rsidR="002A406F">
        <w:t>their unique offerings and management services. Smaller</w:t>
      </w:r>
      <w:r w:rsidR="00284243">
        <w:t xml:space="preserve">, less established </w:t>
      </w:r>
      <w:r w:rsidR="002A406F">
        <w:t xml:space="preserve">CSPs might offer </w:t>
      </w:r>
      <w:r w:rsidR="000F3B2E">
        <w:t>lower costs</w:t>
      </w:r>
      <w:r w:rsidR="008D4869">
        <w:t xml:space="preserve"> using </w:t>
      </w:r>
      <w:r w:rsidR="000F3B2E">
        <w:t xml:space="preserve">new cost models </w:t>
      </w:r>
      <w:r w:rsidR="008D4869">
        <w:t xml:space="preserve">or innovative new services </w:t>
      </w:r>
      <w:r w:rsidR="00284243">
        <w:t xml:space="preserve">to incentivize customers to </w:t>
      </w:r>
      <w:r w:rsidR="000F3B2E">
        <w:t>choose their plat</w:t>
      </w:r>
      <w:r w:rsidR="009A0991">
        <w:t>form</w:t>
      </w:r>
      <w:r w:rsidR="008D4869">
        <w:t xml:space="preserve">. Finally, CSPs may </w:t>
      </w:r>
      <w:r w:rsidR="001B71B1">
        <w:t xml:space="preserve">offer </w:t>
      </w:r>
      <w:r w:rsidR="00E16472">
        <w:t xml:space="preserve">discounts for customers </w:t>
      </w:r>
      <w:r w:rsidR="008D4869">
        <w:t>bundl</w:t>
      </w:r>
      <w:r w:rsidR="00E16472">
        <w:t>ing</w:t>
      </w:r>
      <w:r w:rsidR="008D4869">
        <w:t xml:space="preserve"> services, </w:t>
      </w:r>
      <w:r w:rsidR="001B71B1">
        <w:t>purchasing more services</w:t>
      </w:r>
      <w:r w:rsidR="008D4869">
        <w:t xml:space="preserve">, </w:t>
      </w:r>
      <w:r w:rsidR="001B71B1">
        <w:t xml:space="preserve">and </w:t>
      </w:r>
      <w:r w:rsidR="00D34CE0">
        <w:t xml:space="preserve">agreeing to </w:t>
      </w:r>
      <w:r w:rsidR="00E16472">
        <w:t>reserve specific resources for extended periods.</w:t>
      </w:r>
      <w:r w:rsidR="009976E5">
        <w:t xml:space="preserve"> Cloud pricing models can be a bit convoluted</w:t>
      </w:r>
      <w:r w:rsidR="002C5976">
        <w:t>,</w:t>
      </w:r>
      <w:r w:rsidR="009976E5">
        <w:t xml:space="preserve"> but the main </w:t>
      </w:r>
      <w:r w:rsidR="002C5976">
        <w:t xml:space="preserve">types of pricing typically fall into a few distinct categories, pay-as-you-go, reserved, </w:t>
      </w:r>
      <w:r w:rsidR="00897B93">
        <w:t>or volume</w:t>
      </w:r>
      <w:r w:rsidR="004007AB">
        <w:t xml:space="preserve">. Each CSP service </w:t>
      </w:r>
      <w:r w:rsidR="00031421">
        <w:t xml:space="preserve">cost model </w:t>
      </w:r>
      <w:r w:rsidR="004007AB">
        <w:t xml:space="preserve">should be carefully evaluated to </w:t>
      </w:r>
      <w:r w:rsidR="005D2AA8">
        <w:t xml:space="preserve">determine the </w:t>
      </w:r>
      <w:r w:rsidR="00DD0761">
        <w:t xml:space="preserve">total cost of ownership (TCO) </w:t>
      </w:r>
      <w:r w:rsidR="00CC4882">
        <w:t>for hosting</w:t>
      </w:r>
      <w:r w:rsidR="001817AD">
        <w:t xml:space="preserve"> each IT service</w:t>
      </w:r>
      <w:r w:rsidR="00CC4882">
        <w:t xml:space="preserve"> in the cloud.</w:t>
      </w:r>
    </w:p>
    <w:p w14:paraId="7E7E21F4" w14:textId="4964016C" w:rsidR="00F36D32" w:rsidRDefault="00784367" w:rsidP="00305B5C">
      <w:pPr>
        <w:pStyle w:val="Heading4"/>
      </w:pPr>
      <w:r>
        <w:t>Timeline</w:t>
      </w:r>
    </w:p>
    <w:p w14:paraId="780E2EBE" w14:textId="042820CF" w:rsidR="00784367" w:rsidRDefault="006845C4" w:rsidP="00784367">
      <w:r>
        <w:t xml:space="preserve">Another component of the migration strategy </w:t>
      </w:r>
      <w:r w:rsidR="00DC0D59">
        <w:t>and business case</w:t>
      </w:r>
      <w:r w:rsidR="00722971">
        <w:t>,</w:t>
      </w:r>
      <w:r w:rsidR="00DC0D59">
        <w:t xml:space="preserve"> </w:t>
      </w:r>
      <w:r w:rsidR="00722971">
        <w:t xml:space="preserve">as well as </w:t>
      </w:r>
      <w:r>
        <w:t>a</w:t>
      </w:r>
      <w:r w:rsidR="00D41AE4">
        <w:t>n essential</w:t>
      </w:r>
      <w:r>
        <w:t xml:space="preserve"> </w:t>
      </w:r>
      <w:r w:rsidR="00D41AE4">
        <w:t>contribution to budgetary consideration</w:t>
      </w:r>
      <w:r w:rsidR="00722971">
        <w:t>,</w:t>
      </w:r>
      <w:r w:rsidR="00D41AE4">
        <w:t xml:space="preserve"> is the timeline for the migration. The migration’s timeline must be aligned with business operations requirements and minimize any potential service outages so as not to disrupt business </w:t>
      </w:r>
      <w:r w:rsidR="00684AC1">
        <w:t>functions</w:t>
      </w:r>
      <w:r w:rsidR="00D41AE4">
        <w:t xml:space="preserve">. </w:t>
      </w:r>
      <w:r w:rsidR="003A20AE">
        <w:t xml:space="preserve">The timeline must </w:t>
      </w:r>
      <w:r w:rsidR="00A958A4">
        <w:t xml:space="preserve">reasonably </w:t>
      </w:r>
      <w:r w:rsidR="00CE3EBF">
        <w:t>consider</w:t>
      </w:r>
      <w:r w:rsidR="003A20AE">
        <w:t xml:space="preserve"> the time </w:t>
      </w:r>
      <w:r w:rsidR="000213E9">
        <w:t xml:space="preserve">necessary </w:t>
      </w:r>
      <w:r w:rsidR="003A20AE">
        <w:t xml:space="preserve">to successfully </w:t>
      </w:r>
      <w:r w:rsidR="002F74AD">
        <w:t>build</w:t>
      </w:r>
      <w:r w:rsidR="00C012BA">
        <w:t xml:space="preserve"> a</w:t>
      </w:r>
      <w:r w:rsidR="00136F36">
        <w:t>nd prepare a</w:t>
      </w:r>
      <w:r w:rsidR="00C012BA">
        <w:t xml:space="preserve"> stable cloud infrastructure or environment, migrate system functionality, test operational capabilities, and </w:t>
      </w:r>
      <w:r w:rsidR="005C5631">
        <w:t>transition services to the cloud environment following successful testing.</w:t>
      </w:r>
    </w:p>
    <w:p w14:paraId="32DFCC1E" w14:textId="59F2DD0B" w:rsidR="00784367" w:rsidRDefault="00784367" w:rsidP="009B392D">
      <w:pPr>
        <w:pStyle w:val="Heading4"/>
      </w:pPr>
      <w:r>
        <w:t>Budget</w:t>
      </w:r>
    </w:p>
    <w:p w14:paraId="130396C7" w14:textId="2363C58E" w:rsidR="00974778" w:rsidRPr="00974778" w:rsidRDefault="000508E2" w:rsidP="002903C3">
      <w:r>
        <w:t xml:space="preserve">With a defined scope, timeline, and cloud strategy, </w:t>
      </w:r>
      <w:r w:rsidR="002B1874">
        <w:t>the organization can now accurately</w:t>
      </w:r>
      <w:r w:rsidR="00351A24">
        <w:t xml:space="preserve"> </w:t>
      </w:r>
      <w:r w:rsidR="002B1874">
        <w:t>estimate the overall cost of the migration and use</w:t>
      </w:r>
      <w:r w:rsidR="00351A24">
        <w:t xml:space="preserve"> realistic estimates </w:t>
      </w:r>
      <w:r w:rsidR="002B1874">
        <w:t xml:space="preserve">of cloud service </w:t>
      </w:r>
      <w:r w:rsidR="00A104C2">
        <w:t>fees</w:t>
      </w:r>
      <w:r w:rsidR="002B1874">
        <w:t xml:space="preserve"> to</w:t>
      </w:r>
      <w:r w:rsidR="00115FCA">
        <w:t xml:space="preserve"> identify</w:t>
      </w:r>
      <w:r w:rsidR="00351A24">
        <w:t xml:space="preserve"> </w:t>
      </w:r>
      <w:r w:rsidR="00115FCA">
        <w:t xml:space="preserve">the </w:t>
      </w:r>
      <w:r w:rsidR="00DD0761">
        <w:t xml:space="preserve">TCO </w:t>
      </w:r>
      <w:r w:rsidR="00351A24">
        <w:t xml:space="preserve">for cloud services required to support each application. </w:t>
      </w:r>
      <w:r w:rsidR="00115FCA">
        <w:t>The TCO should incorporate the cost of all</w:t>
      </w:r>
      <w:r w:rsidR="00351A24">
        <w:t xml:space="preserve"> cloud services </w:t>
      </w:r>
      <w:r w:rsidR="003657EF">
        <w:t>necessary</w:t>
      </w:r>
      <w:r w:rsidR="00351A24">
        <w:t xml:space="preserve"> to meet business needs</w:t>
      </w:r>
      <w:r w:rsidR="00926254">
        <w:t>, growt</w:t>
      </w:r>
      <w:r w:rsidR="002E2C7F">
        <w:t>h and</w:t>
      </w:r>
      <w:r w:rsidR="00926254">
        <w:t xml:space="preserve"> expansion costs, and</w:t>
      </w:r>
      <w:r w:rsidR="00115FCA">
        <w:t xml:space="preserve"> </w:t>
      </w:r>
      <w:r w:rsidR="00D47D22">
        <w:t xml:space="preserve">any </w:t>
      </w:r>
      <w:r w:rsidR="00115FCA">
        <w:t xml:space="preserve">additional </w:t>
      </w:r>
      <w:r w:rsidR="00D47D22">
        <w:t>potential</w:t>
      </w:r>
      <w:r w:rsidR="00115FCA">
        <w:t xml:space="preserve"> costs</w:t>
      </w:r>
      <w:r w:rsidR="003657EF">
        <w:t>,</w:t>
      </w:r>
      <w:r w:rsidR="00115FCA">
        <w:t xml:space="preserve"> including </w:t>
      </w:r>
      <w:r w:rsidR="003657EF">
        <w:t xml:space="preserve">application </w:t>
      </w:r>
      <w:r w:rsidR="00115FCA">
        <w:t>licensing</w:t>
      </w:r>
      <w:r w:rsidR="003657EF">
        <w:t xml:space="preserve">, </w:t>
      </w:r>
      <w:r w:rsidR="00C3306E">
        <w:t>other</w:t>
      </w:r>
      <w:r w:rsidR="003657EF">
        <w:t xml:space="preserve"> </w:t>
      </w:r>
      <w:r w:rsidR="00C3306E">
        <w:t xml:space="preserve">required </w:t>
      </w:r>
      <w:r w:rsidR="003657EF">
        <w:t>services, and</w:t>
      </w:r>
      <w:r w:rsidR="00115FCA">
        <w:t xml:space="preserve"> </w:t>
      </w:r>
      <w:r w:rsidR="003657EF">
        <w:t>IT administration. Furthermore</w:t>
      </w:r>
      <w:r w:rsidR="00C3306E">
        <w:t>,</w:t>
      </w:r>
      <w:r w:rsidR="003657EF">
        <w:t xml:space="preserve"> </w:t>
      </w:r>
      <w:r w:rsidR="00C3306E">
        <w:t xml:space="preserve">the budget should identify potential areas where </w:t>
      </w:r>
      <w:r w:rsidR="00B74665">
        <w:t xml:space="preserve">the risk of </w:t>
      </w:r>
      <w:r w:rsidR="00C3306E">
        <w:t>cost</w:t>
      </w:r>
      <w:r w:rsidR="00B74665">
        <w:t xml:space="preserve"> overrun is a concern and establish mitigating controls to prevent </w:t>
      </w:r>
      <w:r w:rsidR="006861FC">
        <w:t>the migration or ongoing services from exceeding estimated costs.</w:t>
      </w:r>
    </w:p>
    <w:p w14:paraId="63988926" w14:textId="77777777" w:rsidR="00F36D32" w:rsidRDefault="00F36D32" w:rsidP="00F36D32">
      <w:pPr>
        <w:pStyle w:val="Heading2"/>
      </w:pPr>
      <w:bookmarkStart w:id="10" w:name="_Toc110602307"/>
      <w:r>
        <w:lastRenderedPageBreak/>
        <w:t>Migration</w:t>
      </w:r>
      <w:bookmarkEnd w:id="10"/>
    </w:p>
    <w:p w14:paraId="1DD36ADA" w14:textId="73A29600" w:rsidR="00CA46D4" w:rsidRDefault="00BB7F2A" w:rsidP="00D01666">
      <w:r>
        <w:t>After completing</w:t>
      </w:r>
      <w:r w:rsidR="00BC3759">
        <w:t xml:space="preserve"> migration planning activities </w:t>
      </w:r>
      <w:r>
        <w:t xml:space="preserve">and obtaining an </w:t>
      </w:r>
      <w:r w:rsidR="0054704D">
        <w:t>approved migration strategy</w:t>
      </w:r>
      <w:r>
        <w:t xml:space="preserve"> and budget</w:t>
      </w:r>
      <w:r w:rsidR="0054704D">
        <w:t xml:space="preserve">, the next phase is </w:t>
      </w:r>
      <w:r w:rsidR="003D5860">
        <w:t>executing the cloud migration plan and</w:t>
      </w:r>
      <w:r w:rsidR="0054704D">
        <w:t xml:space="preserve"> migrating IT</w:t>
      </w:r>
      <w:r w:rsidR="00627135">
        <w:t xml:space="preserve"> services and systems to the cloud. </w:t>
      </w:r>
      <w:r w:rsidR="0054704D">
        <w:t>During this phase, th</w:t>
      </w:r>
      <w:r w:rsidR="0083754C">
        <w:t>ree primary considerations are</w:t>
      </w:r>
      <w:r w:rsidR="00CA46D4">
        <w:t xml:space="preserve"> required for a successful migration, minimizing </w:t>
      </w:r>
      <w:r w:rsidR="0083754C">
        <w:t xml:space="preserve">service disruptions, costs, and time. </w:t>
      </w:r>
      <w:r w:rsidR="00D01666">
        <w:t xml:space="preserve">Using project management fundamentals, organizations can manage the migration project and work with business units, IT staff, and the CSP to minimize the impact of potential issues arising from migration activities. </w:t>
      </w:r>
      <w:r w:rsidR="00265E70">
        <w:t xml:space="preserve">Depending upon the strategy selected, the overall migration </w:t>
      </w:r>
      <w:r w:rsidR="00D01666">
        <w:t xml:space="preserve">itself </w:t>
      </w:r>
      <w:r w:rsidR="00265E70">
        <w:t xml:space="preserve">may look very different </w:t>
      </w:r>
      <w:r w:rsidR="00103A37">
        <w:t xml:space="preserve">for each service or system; however, </w:t>
      </w:r>
      <w:r w:rsidR="007A345D">
        <w:t xml:space="preserve">the overarching goals </w:t>
      </w:r>
      <w:r w:rsidR="0014134D">
        <w:t xml:space="preserve">and management tools for </w:t>
      </w:r>
      <w:r w:rsidR="007A345D">
        <w:t>the migration will remain the</w:t>
      </w:r>
      <w:r w:rsidR="00C75C4E">
        <w:t xml:space="preserve"> same</w:t>
      </w:r>
      <w:r w:rsidR="007A345D">
        <w:t xml:space="preserve">, improve business capabilities and technology, </w:t>
      </w:r>
      <w:r w:rsidR="00281106">
        <w:t xml:space="preserve">save resources, </w:t>
      </w:r>
      <w:r w:rsidR="007A345D">
        <w:t>and reduce cost.</w:t>
      </w:r>
    </w:p>
    <w:p w14:paraId="0F972FA8" w14:textId="6D0D9271" w:rsidR="00B45E09" w:rsidRDefault="00265E70" w:rsidP="00B45E09">
      <w:pPr>
        <w:pStyle w:val="Heading3"/>
      </w:pPr>
      <w:bookmarkStart w:id="11" w:name="_Toc110602308"/>
      <w:r>
        <w:t xml:space="preserve">Service </w:t>
      </w:r>
      <w:r w:rsidR="00B45E09">
        <w:t>Disruptions</w:t>
      </w:r>
      <w:bookmarkEnd w:id="11"/>
    </w:p>
    <w:p w14:paraId="3DA273E9" w14:textId="4975D0C1" w:rsidR="00B45E09" w:rsidRDefault="00602915" w:rsidP="00B45E09">
      <w:r>
        <w:t>There is always a potential for service disruption and outages during any IT evolution. Cloud migrations</w:t>
      </w:r>
      <w:r w:rsidR="00C75C4E">
        <w:t xml:space="preserve"> can be very</w:t>
      </w:r>
      <w:r>
        <w:t xml:space="preserve"> </w:t>
      </w:r>
      <w:r w:rsidR="006C1AE5">
        <w:t>complex,</w:t>
      </w:r>
      <w:r w:rsidR="0022456B">
        <w:t xml:space="preserve"> </w:t>
      </w:r>
      <w:r w:rsidR="00C46518">
        <w:t xml:space="preserve">and cloud hosting environments can differ significantly from an on-premise environment. Most migrations will </w:t>
      </w:r>
      <w:r w:rsidR="0022456B">
        <w:t xml:space="preserve">require </w:t>
      </w:r>
      <w:r w:rsidR="00856049">
        <w:t>integrating</w:t>
      </w:r>
      <w:r w:rsidR="00C90F6F">
        <w:t xml:space="preserve"> </w:t>
      </w:r>
      <w:r w:rsidR="00C46518">
        <w:t xml:space="preserve">multiple technologies and </w:t>
      </w:r>
      <w:r w:rsidR="00C90F6F">
        <w:t xml:space="preserve">consistent communication and </w:t>
      </w:r>
      <w:r w:rsidR="00C46518">
        <w:t xml:space="preserve">feedback </w:t>
      </w:r>
      <w:r w:rsidR="0022456B">
        <w:t xml:space="preserve">from </w:t>
      </w:r>
      <w:r w:rsidR="00C46518">
        <w:t>various</w:t>
      </w:r>
      <w:r w:rsidR="0022456B">
        <w:t xml:space="preserve"> </w:t>
      </w:r>
      <w:r w:rsidR="00C46518">
        <w:t>organizational stakeholders</w:t>
      </w:r>
      <w:r w:rsidR="00C90F6F">
        <w:t xml:space="preserve"> throughout the migration to ensure solutions are implemented</w:t>
      </w:r>
      <w:r w:rsidR="00724BA9">
        <w:t xml:space="preserve"> and function</w:t>
      </w:r>
      <w:r w:rsidR="00C90F6F">
        <w:t xml:space="preserve"> correctly</w:t>
      </w:r>
      <w:r w:rsidR="006C1AE5">
        <w:t xml:space="preserve">. </w:t>
      </w:r>
    </w:p>
    <w:p w14:paraId="3631D6C1" w14:textId="0990CAFE" w:rsidR="00B45E09" w:rsidRDefault="00B45E09" w:rsidP="00B45E09">
      <w:pPr>
        <w:pStyle w:val="Heading3"/>
      </w:pPr>
      <w:bookmarkStart w:id="12" w:name="_Toc110602309"/>
      <w:r>
        <w:t>Cost</w:t>
      </w:r>
      <w:bookmarkEnd w:id="12"/>
    </w:p>
    <w:p w14:paraId="232F0A7E" w14:textId="0B1D095A" w:rsidR="00B45E09" w:rsidRDefault="00B076B6" w:rsidP="00B45E09">
      <w:r>
        <w:t xml:space="preserve">Even though organizations should conduct a thorough cost assessment during the planning phase of cloud migration, there is always the potential for </w:t>
      </w:r>
      <w:r w:rsidR="00BB05A1">
        <w:t xml:space="preserve">unforeseen challenges that can dramatically impact the overall cost of the migration. Throughout the </w:t>
      </w:r>
      <w:r w:rsidR="008435AB">
        <w:t xml:space="preserve">migration, IT staff conducting the technical portion of the migration must be in direct communication with the business </w:t>
      </w:r>
      <w:r w:rsidR="009D04F6">
        <w:t>units</w:t>
      </w:r>
      <w:r w:rsidR="008435AB">
        <w:t xml:space="preserve"> </w:t>
      </w:r>
      <w:r w:rsidR="00865D56">
        <w:t>utilizing</w:t>
      </w:r>
      <w:r w:rsidR="008435AB">
        <w:t xml:space="preserve"> the services. Using a project</w:t>
      </w:r>
      <w:r w:rsidR="00856049">
        <w:t xml:space="preserve"> management approach </w:t>
      </w:r>
      <w:r w:rsidR="00E33C0A">
        <w:t>to</w:t>
      </w:r>
      <w:r w:rsidR="00CD49F5">
        <w:t xml:space="preserve"> migration execution </w:t>
      </w:r>
      <w:r w:rsidR="00E33C0A">
        <w:t>will</w:t>
      </w:r>
      <w:r w:rsidR="00CD49F5">
        <w:t xml:space="preserve"> allow organizations to identify roadblocks and additional costs and provide time for strategies to be updated in alignment with </w:t>
      </w:r>
      <w:r w:rsidR="00CC0554">
        <w:t>new</w:t>
      </w:r>
      <w:r w:rsidR="00CC02A5">
        <w:t xml:space="preserve">ly discovered </w:t>
      </w:r>
      <w:r w:rsidR="00CD49F5">
        <w:t xml:space="preserve">migration requirements. </w:t>
      </w:r>
      <w:r w:rsidR="00F72BE3">
        <w:t xml:space="preserve">Lastly, an organization needs to know when to stop a project due to excessive cost overruns. Setting clear </w:t>
      </w:r>
      <w:r w:rsidR="005A03E5">
        <w:t xml:space="preserve">financial </w:t>
      </w:r>
      <w:r w:rsidR="00F72BE3">
        <w:t xml:space="preserve">guardrails </w:t>
      </w:r>
      <w:r w:rsidR="005A03E5">
        <w:t xml:space="preserve">for cloud migration will prevent organizations from wasting excessive </w:t>
      </w:r>
      <w:r w:rsidR="00450059">
        <w:t xml:space="preserve">resources attempting to finish </w:t>
      </w:r>
      <w:r w:rsidR="005A03E5">
        <w:t>a</w:t>
      </w:r>
      <w:r w:rsidR="00F154B1">
        <w:t>n already</w:t>
      </w:r>
      <w:r w:rsidR="005A03E5">
        <w:t xml:space="preserve"> fail</w:t>
      </w:r>
      <w:r w:rsidR="00013E4A">
        <w:t>ing</w:t>
      </w:r>
      <w:r w:rsidR="005A03E5">
        <w:t xml:space="preserve"> project.</w:t>
      </w:r>
    </w:p>
    <w:p w14:paraId="0B819566" w14:textId="6D33BCDF" w:rsidR="00B45E09" w:rsidRDefault="00B45E09" w:rsidP="00B45E09">
      <w:pPr>
        <w:pStyle w:val="Heading3"/>
      </w:pPr>
      <w:bookmarkStart w:id="13" w:name="_Toc110602310"/>
      <w:r>
        <w:t>Time</w:t>
      </w:r>
      <w:bookmarkEnd w:id="13"/>
    </w:p>
    <w:p w14:paraId="11CE6FB3" w14:textId="39F66EE5" w:rsidR="00B45E09" w:rsidRPr="00B45E09" w:rsidRDefault="00857E24" w:rsidP="00B45E09">
      <w:r>
        <w:t xml:space="preserve">With requirements </w:t>
      </w:r>
      <w:r w:rsidR="00167E24">
        <w:t>such as</w:t>
      </w:r>
      <w:r>
        <w:t xml:space="preserve"> </w:t>
      </w:r>
      <w:r w:rsidR="008000C8">
        <w:t xml:space="preserve">initial provisioning, </w:t>
      </w:r>
      <w:r>
        <w:t>data migration,</w:t>
      </w:r>
      <w:r w:rsidR="008000C8">
        <w:t xml:space="preserve"> and</w:t>
      </w:r>
      <w:r>
        <w:t xml:space="preserve"> testing, </w:t>
      </w:r>
      <w:r w:rsidR="008000C8">
        <w:t xml:space="preserve">there is always a potential for </w:t>
      </w:r>
      <w:r w:rsidR="00BD6476">
        <w:t xml:space="preserve">delays in migration activities. </w:t>
      </w:r>
      <w:r w:rsidR="00C96F1B">
        <w:t>While</w:t>
      </w:r>
      <w:r w:rsidR="007E5E2D">
        <w:t xml:space="preserve"> extensive planning can offset</w:t>
      </w:r>
      <w:r>
        <w:t xml:space="preserve"> </w:t>
      </w:r>
      <w:r w:rsidR="007E5E2D">
        <w:t xml:space="preserve">the </w:t>
      </w:r>
      <w:r w:rsidR="007E5E2D">
        <w:lastRenderedPageBreak/>
        <w:t xml:space="preserve">likelihood of project delays, there is always the potential that known unknowns can interfere with the migration timeline. </w:t>
      </w:r>
      <w:r w:rsidR="00F15AF5">
        <w:t xml:space="preserve">The key to dealing with migration delays is ensuring active communication with key stakeholders and </w:t>
      </w:r>
      <w:r w:rsidR="00167E24">
        <w:t>readjusting</w:t>
      </w:r>
      <w:r w:rsidR="00A61750">
        <w:t xml:space="preserve"> the timeline as </w:t>
      </w:r>
      <w:r w:rsidR="00972124">
        <w:t xml:space="preserve">necessary. Another </w:t>
      </w:r>
      <w:r w:rsidR="00C22C85">
        <w:t>critical</w:t>
      </w:r>
      <w:r w:rsidR="00972124">
        <w:t xml:space="preserve"> </w:t>
      </w:r>
      <w:r w:rsidR="00752444">
        <w:t>factor is ensuring that the time</w:t>
      </w:r>
      <w:r w:rsidR="00C22C85">
        <w:t>tabl</w:t>
      </w:r>
      <w:r w:rsidR="00752444">
        <w:t xml:space="preserve">e for the </w:t>
      </w:r>
      <w:r w:rsidR="006843FA">
        <w:t xml:space="preserve">migration </w:t>
      </w:r>
      <w:r w:rsidR="00167E24">
        <w:t>allocates</w:t>
      </w:r>
      <w:r w:rsidR="006843FA">
        <w:t xml:space="preserve"> </w:t>
      </w:r>
      <w:r w:rsidR="00167E24">
        <w:t>sufficient</w:t>
      </w:r>
      <w:r w:rsidR="006843FA">
        <w:t xml:space="preserve"> time for each activity. A common pitfall to cloud migrations is</w:t>
      </w:r>
      <w:r w:rsidR="00EA030C">
        <w:t xml:space="preserve"> rushing through each activity to </w:t>
      </w:r>
      <w:r w:rsidR="00C22C85">
        <w:t>save on costs or get operations up and running as quickly</w:t>
      </w:r>
      <w:r w:rsidR="00EA030C">
        <w:t xml:space="preserve"> as possible. By allocating </w:t>
      </w:r>
      <w:r w:rsidR="00167E24">
        <w:t>adequate</w:t>
      </w:r>
      <w:r w:rsidR="00EA030C">
        <w:t xml:space="preserve"> time</w:t>
      </w:r>
      <w:r w:rsidR="00B10184">
        <w:t xml:space="preserve"> for each activity</w:t>
      </w:r>
      <w:r w:rsidR="00EA030C">
        <w:t xml:space="preserve">, </w:t>
      </w:r>
      <w:r w:rsidR="00C22C85">
        <w:t xml:space="preserve">critical applications can be migrated </w:t>
      </w:r>
      <w:r w:rsidR="000A1A57">
        <w:t>safely</w:t>
      </w:r>
      <w:r w:rsidR="00C22C85">
        <w:t xml:space="preserve"> after environment functionality has been thoroughly tested. </w:t>
      </w:r>
      <w:r w:rsidR="004E0282">
        <w:t>Every migration shoul</w:t>
      </w:r>
      <w:r w:rsidR="00A61750">
        <w:t xml:space="preserve">d </w:t>
      </w:r>
      <w:r w:rsidR="004E0282">
        <w:t>have clear</w:t>
      </w:r>
      <w:r w:rsidR="00A61750">
        <w:t xml:space="preserve"> guidelines for </w:t>
      </w:r>
      <w:r w:rsidR="00AD64F9">
        <w:t>discontinuing a project due to a failure to meet project goals within a reasonable time</w:t>
      </w:r>
      <w:r w:rsidR="00F25A71">
        <w:t>frame</w:t>
      </w:r>
      <w:r w:rsidR="00AD64F9">
        <w:t xml:space="preserve"> and budget. </w:t>
      </w:r>
      <w:r w:rsidR="00F72BE3">
        <w:t>Like</w:t>
      </w:r>
      <w:r w:rsidR="00947939">
        <w:t xml:space="preserve"> </w:t>
      </w:r>
      <w:r w:rsidR="00F72BE3">
        <w:t>cost management, k</w:t>
      </w:r>
      <w:r w:rsidR="00AD64F9">
        <w:t xml:space="preserve">nowing when to stop project work and return to the planning phase to </w:t>
      </w:r>
      <w:r w:rsidR="00947939">
        <w:t>address significant concerns can save organizations considerable time and resources</w:t>
      </w:r>
      <w:r w:rsidR="000064FF">
        <w:t xml:space="preserve"> and prevent disruptions to business services</w:t>
      </w:r>
      <w:r w:rsidR="00947939">
        <w:t>.</w:t>
      </w:r>
    </w:p>
    <w:p w14:paraId="3CF027A0" w14:textId="77777777" w:rsidR="00F36D32" w:rsidRDefault="00F36D32" w:rsidP="00F36D32">
      <w:pPr>
        <w:pStyle w:val="Heading2"/>
      </w:pPr>
      <w:bookmarkStart w:id="14" w:name="_Toc110602311"/>
      <w:r>
        <w:t>Cutover</w:t>
      </w:r>
      <w:bookmarkEnd w:id="14"/>
    </w:p>
    <w:p w14:paraId="662CE6A1" w14:textId="6E51EEB2" w:rsidR="00F36D32" w:rsidRDefault="005D3E6A" w:rsidP="00F17DAA">
      <w:r>
        <w:t>The most sensitive time for any</w:t>
      </w:r>
      <w:r w:rsidR="00ED227A">
        <w:t xml:space="preserve"> cloud migration is during the cutover. In </w:t>
      </w:r>
      <w:r w:rsidR="008D394B">
        <w:t>the cutover</w:t>
      </w:r>
      <w:r w:rsidR="00ED227A">
        <w:t xml:space="preserve"> phase, </w:t>
      </w:r>
      <w:r w:rsidR="008D394B">
        <w:t xml:space="preserve">service requests are transferred from on-premise systems to cloud systems. </w:t>
      </w:r>
      <w:r w:rsidR="00516055">
        <w:t xml:space="preserve">Without proper testing and planning, this phase can cause a substantial disruption to organizational functions </w:t>
      </w:r>
      <w:r w:rsidR="009C5076">
        <w:t>resulting in financial</w:t>
      </w:r>
      <w:r w:rsidR="00C327BC">
        <w:t xml:space="preserve"> or</w:t>
      </w:r>
      <w:r w:rsidR="009C5076">
        <w:t xml:space="preserve"> repu</w:t>
      </w:r>
      <w:r w:rsidR="00C327BC">
        <w:t>t</w:t>
      </w:r>
      <w:r w:rsidR="009C5076">
        <w:t>ation</w:t>
      </w:r>
      <w:r w:rsidR="00C327BC">
        <w:t xml:space="preserve"> losses. Careful consideration must be given to </w:t>
      </w:r>
      <w:r w:rsidR="00EC4191">
        <w:t xml:space="preserve">each </w:t>
      </w:r>
      <w:r w:rsidR="00C327BC">
        <w:t>cutover activit</w:t>
      </w:r>
      <w:r w:rsidR="00EC4191">
        <w:t>y</w:t>
      </w:r>
      <w:r w:rsidR="00C327BC">
        <w:t xml:space="preserve"> and system</w:t>
      </w:r>
      <w:r w:rsidR="00524555">
        <w:t xml:space="preserve">. </w:t>
      </w:r>
      <w:r w:rsidR="00F064C6">
        <w:t>While there are many points of failure during cutover</w:t>
      </w:r>
      <w:r w:rsidR="00EE38A7">
        <w:t>,</w:t>
      </w:r>
      <w:r w:rsidR="00C52D63">
        <w:t xml:space="preserve"> </w:t>
      </w:r>
      <w:r w:rsidR="005F3C7D">
        <w:t xml:space="preserve">three </w:t>
      </w:r>
      <w:r w:rsidR="0082337C">
        <w:t>essent</w:t>
      </w:r>
      <w:r w:rsidR="005F3C7D">
        <w:t xml:space="preserve">ial items must be monitored, </w:t>
      </w:r>
      <w:r w:rsidR="000951CA">
        <w:t xml:space="preserve">system </w:t>
      </w:r>
      <w:r w:rsidR="005F3C7D">
        <w:t>cutover order, data synchronization, and</w:t>
      </w:r>
      <w:r w:rsidR="00885AE6">
        <w:t xml:space="preserve"> system performance. To provide all necessary services required for </w:t>
      </w:r>
      <w:r w:rsidR="00B50F68">
        <w:t xml:space="preserve">migrating applications, organizations must ensure systems are cut over in a specific order </w:t>
      </w:r>
      <w:r w:rsidR="00666A9B">
        <w:t xml:space="preserve">to </w:t>
      </w:r>
      <w:r w:rsidR="00885AE6">
        <w:t>ensure</w:t>
      </w:r>
      <w:r w:rsidR="00F17DAA">
        <w:t xml:space="preserve"> </w:t>
      </w:r>
      <w:r w:rsidR="00A90EA8">
        <w:t>that prerequisites for each application are present in the cloud environment before</w:t>
      </w:r>
      <w:r w:rsidR="0062273F">
        <w:t xml:space="preserve"> moving forward</w:t>
      </w:r>
      <w:r w:rsidR="00F17DAA">
        <w:t>. Most applications have specific data requirements, and for systems depending on services such as databases, d</w:t>
      </w:r>
      <w:r w:rsidR="00666A9B">
        <w:t>ata synchronization</w:t>
      </w:r>
      <w:r w:rsidR="00F17DAA">
        <w:t xml:space="preserve"> management is crucial </w:t>
      </w:r>
      <w:r w:rsidR="00666A9B">
        <w:t>to minimize the</w:t>
      </w:r>
      <w:r w:rsidR="00EC4191">
        <w:t xml:space="preserve"> time required for the</w:t>
      </w:r>
      <w:r w:rsidR="00666A9B">
        <w:t xml:space="preserve"> final synchronization </w:t>
      </w:r>
      <w:r w:rsidR="00F17DAA">
        <w:t xml:space="preserve">and the amount of time </w:t>
      </w:r>
      <w:r w:rsidR="00B50F68">
        <w:t>the system cannot</w:t>
      </w:r>
      <w:r w:rsidR="00F17DAA">
        <w:t xml:space="preserve"> access </w:t>
      </w:r>
      <w:r w:rsidR="0033142A">
        <w:t>data</w:t>
      </w:r>
      <w:r w:rsidR="00A90EA8">
        <w:t xml:space="preserve"> required to function</w:t>
      </w:r>
      <w:r w:rsidR="0033142A">
        <w:t>. Finally, organizations</w:t>
      </w:r>
      <w:r w:rsidR="002B7462">
        <w:t xml:space="preserve"> must closely monitor </w:t>
      </w:r>
      <w:r w:rsidR="0033142A">
        <w:t xml:space="preserve">each </w:t>
      </w:r>
      <w:r w:rsidR="002B7462">
        <w:t xml:space="preserve">system as they are cutover to validate </w:t>
      </w:r>
      <w:r w:rsidR="004F74AE">
        <w:t>system stability</w:t>
      </w:r>
      <w:r w:rsidR="002B7462">
        <w:t xml:space="preserve"> and functionality post-cutover</w:t>
      </w:r>
      <w:r w:rsidR="0033142A">
        <w:t xml:space="preserve"> </w:t>
      </w:r>
      <w:r w:rsidR="00DE03BD">
        <w:t>before continuing</w:t>
      </w:r>
      <w:r w:rsidR="0033142A">
        <w:t xml:space="preserve"> migration activities</w:t>
      </w:r>
      <w:r w:rsidR="002B7462">
        <w:t>.</w:t>
      </w:r>
    </w:p>
    <w:p w14:paraId="1F92B43A" w14:textId="417A52A4" w:rsidR="00D90837" w:rsidRDefault="00162515" w:rsidP="00630C99">
      <w:pPr>
        <w:pStyle w:val="Heading1"/>
      </w:pPr>
      <w:bookmarkStart w:id="15" w:name="_Toc110602312"/>
      <w:r>
        <w:t xml:space="preserve">Cloud Migration </w:t>
      </w:r>
      <w:r w:rsidR="00630C99">
        <w:t>Challenges</w:t>
      </w:r>
      <w:bookmarkEnd w:id="15"/>
    </w:p>
    <w:p w14:paraId="6444151E" w14:textId="64FC98F1" w:rsidR="00630C99" w:rsidRDefault="00E4782C" w:rsidP="00630C99">
      <w:r>
        <w:t xml:space="preserve">While cloud environments can be designed to be very similar to on-premise environments, there are </w:t>
      </w:r>
      <w:r w:rsidR="00EC4191">
        <w:t xml:space="preserve">distinct features that make them </w:t>
      </w:r>
      <w:r w:rsidR="00B82D22">
        <w:t>behave differently</w:t>
      </w:r>
      <w:r>
        <w:t xml:space="preserve"> from on-premises data centers. Due to these differences, </w:t>
      </w:r>
      <w:r w:rsidR="001812A6">
        <w:t>substantial challenges</w:t>
      </w:r>
      <w:r>
        <w:t xml:space="preserve"> need to be considered throughout a cloud migration. Luckily, with every challenge, there are ways for organizations to mitigate risk</w:t>
      </w:r>
      <w:r w:rsidR="001812A6">
        <w:t>,</w:t>
      </w:r>
      <w:r>
        <w:t xml:space="preserve"> </w:t>
      </w:r>
      <w:r>
        <w:lastRenderedPageBreak/>
        <w:t xml:space="preserve">reduce the impact of </w:t>
      </w:r>
      <w:r w:rsidR="001812A6">
        <w:t xml:space="preserve">differences, and capitalize on the very differences that make cloud environments unique. While this paper does not describe every potential issue, it does identify common challenges experienced by </w:t>
      </w:r>
      <w:r w:rsidR="006660E8">
        <w:t>organizations moving IT services to the cloud.</w:t>
      </w:r>
    </w:p>
    <w:p w14:paraId="07B6023A" w14:textId="77777777" w:rsidR="004B6C7D" w:rsidRDefault="004B6C7D" w:rsidP="004B6C7D">
      <w:pPr>
        <w:pStyle w:val="Heading2"/>
      </w:pPr>
      <w:bookmarkStart w:id="16" w:name="_Toc110602313"/>
      <w:r>
        <w:t>Security</w:t>
      </w:r>
      <w:bookmarkEnd w:id="16"/>
    </w:p>
    <w:p w14:paraId="6C80285C" w14:textId="2B14988C" w:rsidR="004B6C7D" w:rsidRPr="00E4782C" w:rsidRDefault="00BB1A80" w:rsidP="004B6C7D">
      <w:r>
        <w:t xml:space="preserve">Security is one of the most significant potential challenges organizations will face migrating services to the cloud. </w:t>
      </w:r>
      <w:r w:rsidR="002F7CC3">
        <w:t>Organizations leveraging</w:t>
      </w:r>
      <w:r w:rsidR="00AF0C08">
        <w:t xml:space="preserve"> CSP services </w:t>
      </w:r>
      <w:r w:rsidR="002F7CC3">
        <w:t xml:space="preserve">through the </w:t>
      </w:r>
      <w:r w:rsidR="00AF0C08">
        <w:t xml:space="preserve">public cloud </w:t>
      </w:r>
      <w:r w:rsidR="002F7CC3">
        <w:t xml:space="preserve">must be aware of the implications associated with </w:t>
      </w:r>
      <w:r w:rsidR="00B44034">
        <w:t>co-tenancy and ensure that the cloud services they have chosen are aligned with compliance and security requirements.</w:t>
      </w:r>
      <w:r w:rsidR="008E4B34">
        <w:t xml:space="preserve"> Organizations </w:t>
      </w:r>
      <w:r w:rsidR="00CC2BBB">
        <w:t>that have not exercised due diligence and care in protecting sensitive data such as PII, PHI, PCI data, or information covered by other legal requirements</w:t>
      </w:r>
      <w:r w:rsidR="00CD730F">
        <w:t xml:space="preserve"> may face steep legal penalties and significant impacts </w:t>
      </w:r>
      <w:r w:rsidR="00B82D22">
        <w:t>to</w:t>
      </w:r>
      <w:r w:rsidR="00CD730F">
        <w:t xml:space="preserve"> their business reputation.</w:t>
      </w:r>
      <w:r w:rsidR="00CC2BBB">
        <w:t xml:space="preserve"> The </w:t>
      </w:r>
      <w:r w:rsidR="00F83D6E">
        <w:t>shared nature of public cloud services require</w:t>
      </w:r>
      <w:r w:rsidR="009B26EB">
        <w:t>s</w:t>
      </w:r>
      <w:r w:rsidR="00F83D6E">
        <w:t xml:space="preserve"> </w:t>
      </w:r>
      <w:r w:rsidR="009B26EB">
        <w:t>unique</w:t>
      </w:r>
      <w:r w:rsidR="00F83D6E">
        <w:t xml:space="preserve"> controls and security hardening to ensure that all data is adequately protected. Furthermore, specific </w:t>
      </w:r>
      <w:r w:rsidR="009B26EB">
        <w:t xml:space="preserve">security or compliance </w:t>
      </w:r>
      <w:r w:rsidR="00F83D6E">
        <w:t xml:space="preserve">requirements may </w:t>
      </w:r>
      <w:r w:rsidR="009B26EB">
        <w:t>dictate the areas in which data can be stored</w:t>
      </w:r>
      <w:r w:rsidR="00CC08FD">
        <w:t xml:space="preserve">. Physical storage location requirements necessitate organizations using </w:t>
      </w:r>
      <w:r w:rsidR="00B67F86">
        <w:t xml:space="preserve">the </w:t>
      </w:r>
      <w:r w:rsidR="00CC08FD">
        <w:t xml:space="preserve">cloud </w:t>
      </w:r>
      <w:r w:rsidR="00B67F86">
        <w:t xml:space="preserve">to </w:t>
      </w:r>
      <w:r w:rsidR="00CC08FD">
        <w:t xml:space="preserve">establish specific SLAs to </w:t>
      </w:r>
      <w:r w:rsidR="00B67F86">
        <w:t xml:space="preserve">ensure cloud-hosted data does not fall outside acceptable boundaries. </w:t>
      </w:r>
      <w:r w:rsidR="007D4352">
        <w:t xml:space="preserve">Examples of </w:t>
      </w:r>
      <w:r w:rsidR="00106663">
        <w:t>territorial</w:t>
      </w:r>
      <w:r w:rsidR="007D4352">
        <w:t xml:space="preserve"> storage requirement</w:t>
      </w:r>
      <w:r w:rsidR="00106663">
        <w:t>s</w:t>
      </w:r>
      <w:r w:rsidR="007D4352">
        <w:t xml:space="preserve"> </w:t>
      </w:r>
      <w:r w:rsidR="006A0D24">
        <w:t>include</w:t>
      </w:r>
      <w:r w:rsidR="00991153">
        <w:t xml:space="preserve"> </w:t>
      </w:r>
      <w:r w:rsidR="00B67F86">
        <w:t xml:space="preserve">sensitive governmental data </w:t>
      </w:r>
      <w:r w:rsidR="00101A15">
        <w:t>identified</w:t>
      </w:r>
      <w:r w:rsidR="00B67F86">
        <w:t xml:space="preserve"> by the United States </w:t>
      </w:r>
      <w:r w:rsidR="00B137BD">
        <w:t>Department of Defense in DFARS 239.7602-2</w:t>
      </w:r>
      <w:r w:rsidR="00B67F86">
        <w:t xml:space="preserve"> or the private data of European Union (EU) citizens as dictated by the EU’s G</w:t>
      </w:r>
      <w:r w:rsidR="00991153">
        <w:t>eneral Data Protection Regulation (GDPR)</w:t>
      </w:r>
      <w:r w:rsidR="00444472">
        <w:t xml:space="preserve"> </w:t>
      </w:r>
      <w:sdt>
        <w:sdtPr>
          <w:id w:val="1106468141"/>
          <w:citation/>
        </w:sdtPr>
        <w:sdtContent>
          <w:r w:rsidR="00444472">
            <w:fldChar w:fldCharType="begin"/>
          </w:r>
          <w:r w:rsidR="00444472">
            <w:instrText xml:space="preserve"> CITATION Eur19 \l 1033  \m GSA22</w:instrText>
          </w:r>
          <w:r w:rsidR="00444472">
            <w:fldChar w:fldCharType="separate"/>
          </w:r>
          <w:r w:rsidR="00444472">
            <w:rPr>
              <w:noProof/>
            </w:rPr>
            <w:t>(European Data Protection Board, 2019; GSA, 2022)</w:t>
          </w:r>
          <w:r w:rsidR="00444472">
            <w:fldChar w:fldCharType="end"/>
          </w:r>
        </w:sdtContent>
      </w:sdt>
      <w:r w:rsidR="00991153">
        <w:t xml:space="preserve">. Failing to consider security and compliance can cause additional expenditures or even force an organization to move its IT services back to an internal data center. </w:t>
      </w:r>
    </w:p>
    <w:p w14:paraId="443041FC" w14:textId="77777777" w:rsidR="00A10BBF" w:rsidRDefault="00A10BBF" w:rsidP="00A10BBF">
      <w:pPr>
        <w:pStyle w:val="Heading2"/>
      </w:pPr>
      <w:bookmarkStart w:id="17" w:name="_Toc110602314"/>
      <w:r>
        <w:t>Vendor Lock</w:t>
      </w:r>
      <w:bookmarkEnd w:id="17"/>
    </w:p>
    <w:p w14:paraId="65F351BA" w14:textId="344859C2" w:rsidR="00A10BBF" w:rsidRDefault="007E3E95" w:rsidP="00A10BBF">
      <w:r>
        <w:t>Another major challenge o</w:t>
      </w:r>
      <w:r w:rsidR="001910C5">
        <w:t>rganizations deciding to utilize CSP services must be co</w:t>
      </w:r>
      <w:r w:rsidR="00C7594A">
        <w:t>nscious</w:t>
      </w:r>
      <w:r w:rsidR="001910C5">
        <w:t xml:space="preserve"> of</w:t>
      </w:r>
      <w:r>
        <w:t xml:space="preserve"> is</w:t>
      </w:r>
      <w:r w:rsidR="001910C5">
        <w:t xml:space="preserve"> vendor lock.</w:t>
      </w:r>
      <w:r>
        <w:t xml:space="preserve"> While organizations using lift-and-shift migrations on IaaS may not have to worry about this challenge as much, </w:t>
      </w:r>
      <w:r w:rsidR="00C7594A">
        <w:t xml:space="preserve">organizations designing their applications for specific PaaS or SaaS systems must be aware that these systems may differ significantly from other CSP offerings. </w:t>
      </w:r>
      <w:r w:rsidR="004D79D2">
        <w:t xml:space="preserve">Unique CSP services </w:t>
      </w:r>
      <w:r w:rsidR="00C7594A">
        <w:t>can make migration</w:t>
      </w:r>
      <w:r w:rsidR="004D79D2">
        <w:t xml:space="preserve"> to another CSP or back to an on-premise environment</w:t>
      </w:r>
      <w:r w:rsidR="00C7594A">
        <w:t xml:space="preserve"> </w:t>
      </w:r>
      <w:r w:rsidR="004D79D2">
        <w:t>challenging and expensive.</w:t>
      </w:r>
      <w:r w:rsidR="00993CEE">
        <w:t xml:space="preserve"> Minimizing unique service offerings or choosing widely supported services can save organizations in the long run if CSPs increase prices or discontinue specific services over time.</w:t>
      </w:r>
      <w:r w:rsidR="00B24FCA">
        <w:t xml:space="preserve"> Organizations must also consider the cost of migrating their data out of the cloud</w:t>
      </w:r>
      <w:r w:rsidR="00732EC0">
        <w:t>,</w:t>
      </w:r>
      <w:r w:rsidR="00B24FCA">
        <w:t xml:space="preserve"> as </w:t>
      </w:r>
      <w:r w:rsidR="00732EC0">
        <w:t xml:space="preserve">the cost of </w:t>
      </w:r>
      <w:r w:rsidR="00B24FCA">
        <w:t xml:space="preserve">extracting data </w:t>
      </w:r>
      <w:r w:rsidR="006D6123">
        <w:t>from</w:t>
      </w:r>
      <w:r w:rsidR="00B24FCA">
        <w:t xml:space="preserve"> cloud storage </w:t>
      </w:r>
      <w:r w:rsidR="00B24FCA">
        <w:lastRenderedPageBreak/>
        <w:t xml:space="preserve">environments can be </w:t>
      </w:r>
      <w:r w:rsidR="00732EC0">
        <w:t>prohibit</w:t>
      </w:r>
      <w:r w:rsidR="00B24FCA">
        <w:t>ive</w:t>
      </w:r>
      <w:r w:rsidR="001D7473">
        <w:t>,</w:t>
      </w:r>
      <w:r w:rsidR="00B24FCA">
        <w:t xml:space="preserve"> </w:t>
      </w:r>
      <w:r w:rsidR="006D6123">
        <w:t>particularly for</w:t>
      </w:r>
      <w:r w:rsidR="00B24FCA">
        <w:t xml:space="preserve"> large quantities of data.</w:t>
      </w:r>
      <w:r w:rsidR="001D7473">
        <w:t xml:space="preserve"> These additional costs can force organizations to stay with a CSP and reduce their </w:t>
      </w:r>
      <w:r w:rsidR="00300E36">
        <w:t>ability to receive preferential pricing from competing CSPs.</w:t>
      </w:r>
    </w:p>
    <w:p w14:paraId="4997CEFE" w14:textId="77777777" w:rsidR="00A10BBF" w:rsidRDefault="00A10BBF" w:rsidP="00A10BBF">
      <w:pPr>
        <w:pStyle w:val="Heading2"/>
      </w:pPr>
      <w:bookmarkStart w:id="18" w:name="_Toc110602315"/>
      <w:r>
        <w:t>Legacy Systems</w:t>
      </w:r>
      <w:bookmarkEnd w:id="18"/>
    </w:p>
    <w:p w14:paraId="335F491B" w14:textId="5AF143F7" w:rsidR="00A10BBF" w:rsidRDefault="00A10BBF" w:rsidP="00A10BBF">
      <w:r>
        <w:t xml:space="preserve">Legacy systems pose a significant challenge for cloud migrations. Many legacy systems require unique operating configurations that may not be available for purchase in the cloud. </w:t>
      </w:r>
      <w:r w:rsidR="0074585B">
        <w:t xml:space="preserve">There are only a few migration options for many of these systems. These options include replacing legacy systems using modern service offerings, </w:t>
      </w:r>
      <w:r w:rsidR="009D488F">
        <w:t>migrating</w:t>
      </w:r>
      <w:r w:rsidR="00A750EF">
        <w:t xml:space="preserve"> some functionality and augmenting with cloud service </w:t>
      </w:r>
      <w:r w:rsidR="00B82D22">
        <w:t>offerings</w:t>
      </w:r>
      <w:r w:rsidR="009D488F">
        <w:t xml:space="preserve"> </w:t>
      </w:r>
      <w:r w:rsidR="00A750EF">
        <w:t>well-</w:t>
      </w:r>
      <w:r w:rsidR="009D488F">
        <w:t>suited for cloud environments</w:t>
      </w:r>
      <w:r w:rsidR="00A750EF">
        <w:t xml:space="preserve">, </w:t>
      </w:r>
      <w:r w:rsidR="008F0D4A">
        <w:t xml:space="preserve">migrating the entire application to the cloud using virtualization of the legacy systems, </w:t>
      </w:r>
      <w:r w:rsidR="006B6D61">
        <w:t>and re-designing the system and migrating the data into a</w:t>
      </w:r>
      <w:r w:rsidR="00B051EC">
        <w:t xml:space="preserve"> cloud-specific climate</w:t>
      </w:r>
      <w:r w:rsidR="006B6D61">
        <w:t xml:space="preserve">. Legacy systems are exceptionally challenging for cloud deployments because they often lack adequate support or have unique </w:t>
      </w:r>
      <w:r w:rsidR="00B051EC">
        <w:t xml:space="preserve">and specific system requirements. </w:t>
      </w:r>
    </w:p>
    <w:p w14:paraId="3349C660" w14:textId="2187070B" w:rsidR="00630C99" w:rsidRDefault="00630C99" w:rsidP="00630C99">
      <w:pPr>
        <w:pStyle w:val="Heading2"/>
      </w:pPr>
      <w:bookmarkStart w:id="19" w:name="_Toc110602316"/>
      <w:r>
        <w:t>Cost Management</w:t>
      </w:r>
      <w:bookmarkEnd w:id="19"/>
    </w:p>
    <w:p w14:paraId="3030818A" w14:textId="7623F527" w:rsidR="00E4782C" w:rsidRDefault="00303060" w:rsidP="00941986">
      <w:r>
        <w:t>O</w:t>
      </w:r>
      <w:r w:rsidR="00291C10">
        <w:t>rganization</w:t>
      </w:r>
      <w:r>
        <w:t>s</w:t>
      </w:r>
      <w:r w:rsidR="00291C10">
        <w:t xml:space="preserve"> </w:t>
      </w:r>
      <w:r>
        <w:t>incapable of</w:t>
      </w:r>
      <w:r w:rsidR="00291C10">
        <w:t xml:space="preserve"> sustain</w:t>
      </w:r>
      <w:r>
        <w:t xml:space="preserve">ing a </w:t>
      </w:r>
      <w:r w:rsidR="00291C10">
        <w:t xml:space="preserve">cloud environment due to </w:t>
      </w:r>
      <w:r w:rsidR="006E4454">
        <w:t xml:space="preserve">a lack of funding </w:t>
      </w:r>
      <w:r>
        <w:t xml:space="preserve">may </w:t>
      </w:r>
      <w:r w:rsidR="00B82D22">
        <w:t>suffer</w:t>
      </w:r>
      <w:r>
        <w:t xml:space="preserve"> drastic </w:t>
      </w:r>
      <w:r w:rsidR="00B82D22">
        <w:t>consequences</w:t>
      </w:r>
      <w:r>
        <w:t xml:space="preserve">, particularly if the cloud environment is hosting critical business </w:t>
      </w:r>
      <w:r w:rsidR="00941986">
        <w:t>systems. Managing c</w:t>
      </w:r>
      <w:r w:rsidR="003A5A90">
        <w:t>loud migration and environment maintenance costs</w:t>
      </w:r>
      <w:r w:rsidR="00B82D22">
        <w:t xml:space="preserve"> post-migration</w:t>
      </w:r>
      <w:r w:rsidR="00157708">
        <w:t xml:space="preserve"> is another major challenge for organizations leveraging cloud services. </w:t>
      </w:r>
      <w:r w:rsidR="003A5A90">
        <w:t>Improper cost assessments can quickly result in catastrophic failure. Businesses must pay careful attention when estimating cloud costs and</w:t>
      </w:r>
      <w:r w:rsidR="0055494E">
        <w:t xml:space="preserve"> need to ensure that all areas are considered before moving IT services into the cloud. Complicated pricing models</w:t>
      </w:r>
      <w:r w:rsidR="00C567DC">
        <w:t xml:space="preserve"> for accessing data in cloud storage</w:t>
      </w:r>
      <w:r w:rsidR="0055494E">
        <w:t xml:space="preserve"> can quickly lead to unforeseen additional costs. </w:t>
      </w:r>
      <w:r w:rsidR="00CB5BF2">
        <w:t>O</w:t>
      </w:r>
      <w:r w:rsidR="00A93C11">
        <w:t>ther</w:t>
      </w:r>
      <w:r w:rsidR="0055494E">
        <w:t xml:space="preserve"> expenses associated with </w:t>
      </w:r>
      <w:r w:rsidR="00A93C11">
        <w:t xml:space="preserve">growth and data extraction from the cloud </w:t>
      </w:r>
      <w:r w:rsidR="00FC060A">
        <w:t xml:space="preserve">also </w:t>
      </w:r>
      <w:r w:rsidR="00A93C11">
        <w:t xml:space="preserve">cannot be overlooked. </w:t>
      </w:r>
    </w:p>
    <w:p w14:paraId="1F666642" w14:textId="48F5E0B0" w:rsidR="00630C99" w:rsidRDefault="00821581" w:rsidP="00CE3AD5">
      <w:pPr>
        <w:pStyle w:val="Heading1"/>
      </w:pPr>
      <w:bookmarkStart w:id="20" w:name="_Toc110602317"/>
      <w:r>
        <w:t>Findings and Recommendations</w:t>
      </w:r>
      <w:bookmarkEnd w:id="20"/>
    </w:p>
    <w:p w14:paraId="3CFC3A0E" w14:textId="7986AD21" w:rsidR="00821581" w:rsidRDefault="00EE0A57" w:rsidP="00821581">
      <w:r>
        <w:t>Like many other IT projects, cloud migrations</w:t>
      </w:r>
      <w:r w:rsidR="00533FD3">
        <w:t xml:space="preserve"> are complex and require substantial planning to execute successfully. </w:t>
      </w:r>
      <w:r>
        <w:t>Despite</w:t>
      </w:r>
      <w:r w:rsidR="00F43E9B">
        <w:t xml:space="preserve"> </w:t>
      </w:r>
      <w:r w:rsidR="00533FD3">
        <w:t>detailed planning, cloud migrations are</w:t>
      </w:r>
      <w:r>
        <w:t xml:space="preserve"> as</w:t>
      </w:r>
      <w:r w:rsidR="00533FD3">
        <w:t xml:space="preserve"> prone to failure</w:t>
      </w:r>
      <w:r>
        <w:t xml:space="preserve"> as any other IT project</w:t>
      </w:r>
      <w:r w:rsidR="00533FD3">
        <w:t xml:space="preserve"> due to </w:t>
      </w:r>
      <w:r>
        <w:t>their complexity</w:t>
      </w:r>
      <w:r w:rsidR="00533FD3">
        <w:t xml:space="preserve">. </w:t>
      </w:r>
      <w:r w:rsidR="0032211F">
        <w:t>Treating cloud migrations as a traditional IT project and ensuring that thorough planning is performed ahead of time can help reduce the likelihood of failure and help organizations design and optimize their cloud environments for cost</w:t>
      </w:r>
      <w:r w:rsidR="00BA5E0C">
        <w:t xml:space="preserve"> and performance. </w:t>
      </w:r>
    </w:p>
    <w:p w14:paraId="0B23CC4E" w14:textId="6227A769" w:rsidR="003A2C2F" w:rsidRDefault="003A2C2F" w:rsidP="003A2C2F">
      <w:pPr>
        <w:pStyle w:val="Heading2"/>
      </w:pPr>
      <w:bookmarkStart w:id="21" w:name="_Toc110602318"/>
      <w:r>
        <w:lastRenderedPageBreak/>
        <w:t>Findings</w:t>
      </w:r>
      <w:bookmarkEnd w:id="21"/>
    </w:p>
    <w:p w14:paraId="6E1D1CD7" w14:textId="77777777" w:rsidR="00B45449" w:rsidRDefault="00905C7C" w:rsidP="00962E2A">
      <w:r>
        <w:t xml:space="preserve">Successful cloud migrations rely </w:t>
      </w:r>
      <w:r w:rsidR="00646205">
        <w:t>on extensive coordination between business units and IT operations to</w:t>
      </w:r>
      <w:r w:rsidR="00616C4D">
        <w:t xml:space="preserve"> identify </w:t>
      </w:r>
      <w:r w:rsidR="00332A00">
        <w:t>benefits and drawbacks and align</w:t>
      </w:r>
      <w:r w:rsidR="00646205">
        <w:t xml:space="preserve"> migration projects with business requirements. </w:t>
      </w:r>
      <w:r w:rsidR="00D90C73">
        <w:t xml:space="preserve">Before beginning a cloud migration, comprehensive </w:t>
      </w:r>
      <w:r w:rsidR="00A80E68">
        <w:t xml:space="preserve">planning is essential. Planning activities should include </w:t>
      </w:r>
      <w:r w:rsidR="005470A9">
        <w:t>a full assessment of business functions, practices, and activities</w:t>
      </w:r>
      <w:r w:rsidR="00DF08DC">
        <w:t>, an evaluation of internal IT services and systems, and</w:t>
      </w:r>
      <w:r w:rsidR="005470A9">
        <w:t xml:space="preserve"> their </w:t>
      </w:r>
      <w:r w:rsidR="00A80E68">
        <w:t xml:space="preserve">current and future </w:t>
      </w:r>
      <w:r w:rsidR="005470A9">
        <w:t xml:space="preserve">system requirements. </w:t>
      </w:r>
      <w:r w:rsidR="000F6457">
        <w:t>Using each system’s</w:t>
      </w:r>
      <w:r w:rsidR="00DF08DC">
        <w:t xml:space="preserve"> detailed requirements, organizations must then identify </w:t>
      </w:r>
      <w:r w:rsidR="000F6457">
        <w:t xml:space="preserve">a </w:t>
      </w:r>
      <w:r w:rsidR="00D53468">
        <w:t xml:space="preserve">comprehensive </w:t>
      </w:r>
      <w:r w:rsidR="000F6457">
        <w:t xml:space="preserve">cloud strategy for the entire organization and </w:t>
      </w:r>
      <w:r w:rsidR="00D53468">
        <w:t>each system selected for migration. Cloud strategies must include a well</w:t>
      </w:r>
      <w:r w:rsidR="00F849E8">
        <w:t>-thought-</w:t>
      </w:r>
      <w:r w:rsidR="00D53468">
        <w:t xml:space="preserve">out approach to cloud types, services, and </w:t>
      </w:r>
      <w:r w:rsidR="00F849E8">
        <w:t xml:space="preserve">capabilities as part of a methodology selection process. </w:t>
      </w:r>
      <w:r w:rsidR="00962E2A">
        <w:t xml:space="preserve">Required resources and expected outcomes for migrating IT services to the cloud should be consolidated into a business case that identifies the approach, methodology, scope, timeline, and budget for cloud migration. </w:t>
      </w:r>
    </w:p>
    <w:p w14:paraId="3A1D3DAC" w14:textId="31CC4F99" w:rsidR="0091068E" w:rsidRDefault="0091068E" w:rsidP="00962E2A">
      <w:r>
        <w:t>Once approved, cloud migrations must be executed with due diligence and care to avoid potential pitfalls in migration</w:t>
      </w:r>
      <w:r w:rsidR="003C43F3">
        <w:t>,</w:t>
      </w:r>
      <w:r>
        <w:t xml:space="preserve"> including service disruptions, </w:t>
      </w:r>
      <w:r w:rsidR="003C43F3">
        <w:t xml:space="preserve">cost overruns, and project delays. Following migration activities, </w:t>
      </w:r>
      <w:r w:rsidR="00B45449">
        <w:t xml:space="preserve">the organization must exercise additional caution to prevent outages or service interruptions caused during the cutover. Throughout the migration process, it is critical for IT and business units to monitor migration activities </w:t>
      </w:r>
      <w:r w:rsidR="002F7450">
        <w:t>and</w:t>
      </w:r>
      <w:r w:rsidR="00B45449">
        <w:t xml:space="preserve"> ensure changes to the IT environment do not impact business operations</w:t>
      </w:r>
      <w:r w:rsidR="00F209D3">
        <w:t>.</w:t>
      </w:r>
    </w:p>
    <w:p w14:paraId="55A8524C" w14:textId="12E69FE5" w:rsidR="000C10D5" w:rsidRDefault="00537A3B" w:rsidP="00962E2A">
      <w:r>
        <w:t>Before</w:t>
      </w:r>
      <w:r w:rsidR="000C10D5">
        <w:t xml:space="preserve"> and during a cloud migration, organizations must also remain </w:t>
      </w:r>
      <w:r>
        <w:t>mindful</w:t>
      </w:r>
      <w:r w:rsidR="000C10D5">
        <w:t xml:space="preserve"> of </w:t>
      </w:r>
      <w:r>
        <w:t>critical</w:t>
      </w:r>
      <w:r w:rsidR="000C10D5">
        <w:t xml:space="preserve"> challenges to cloud migrations, including security implications, vendor lock, legacy system </w:t>
      </w:r>
      <w:r>
        <w:t xml:space="preserve">migration, and cost management. Each challenge on its own could spell disaster for a cloud migration project, and careful consideration should be given to pre-empt any potential problems. </w:t>
      </w:r>
      <w:r w:rsidR="00930825">
        <w:t xml:space="preserve">A common source of cloud migration failures stems from a poorly identified cloud strategy and planning, a lack of adequate skills or expertise on the cloud migration </w:t>
      </w:r>
      <w:r w:rsidR="005F55B7">
        <w:t>team</w:t>
      </w:r>
      <w:r w:rsidR="003763FC">
        <w:t>,</w:t>
      </w:r>
      <w:r w:rsidR="005F55B7">
        <w:t xml:space="preserve"> and</w:t>
      </w:r>
      <w:r w:rsidR="00930825">
        <w:t xml:space="preserve"> rushing </w:t>
      </w:r>
      <w:r w:rsidR="00695BC3">
        <w:t xml:space="preserve">to migrate critical systems to the cloud without adequately </w:t>
      </w:r>
      <w:r w:rsidR="00930825">
        <w:t>evaluati</w:t>
      </w:r>
      <w:r w:rsidR="00695BC3">
        <w:t>ng</w:t>
      </w:r>
      <w:r w:rsidR="00930825">
        <w:t xml:space="preserve"> and testing </w:t>
      </w:r>
      <w:r w:rsidR="00695BC3">
        <w:t>prerequisite</w:t>
      </w:r>
      <w:r w:rsidR="00930825">
        <w:t xml:space="preserve"> IT services</w:t>
      </w:r>
      <w:r w:rsidR="000B4FFE">
        <w:t xml:space="preserve"> and systems along with </w:t>
      </w:r>
      <w:r w:rsidR="001016BF">
        <w:t>testing of IT services supporting business systems before moving them to production</w:t>
      </w:r>
      <w:r w:rsidR="000B4FFE">
        <w:t xml:space="preserve"> </w:t>
      </w:r>
      <w:r w:rsidR="00695BC3">
        <w:t>in the cloud environment</w:t>
      </w:r>
      <w:r w:rsidR="00930825">
        <w:t>.</w:t>
      </w:r>
    </w:p>
    <w:p w14:paraId="7776BCA3" w14:textId="3DD7EBCB" w:rsidR="003A2C2F" w:rsidRDefault="003A2C2F" w:rsidP="003A2C2F">
      <w:pPr>
        <w:pStyle w:val="Heading2"/>
      </w:pPr>
      <w:bookmarkStart w:id="22" w:name="_Toc110602319"/>
      <w:r>
        <w:t>Recommendations</w:t>
      </w:r>
      <w:bookmarkEnd w:id="22"/>
    </w:p>
    <w:p w14:paraId="598995B1" w14:textId="5C1D9332" w:rsidR="00DE1C51" w:rsidRDefault="00262FE5" w:rsidP="00DE1C51">
      <w:r>
        <w:t xml:space="preserve">The substantial impact of IT operations </w:t>
      </w:r>
      <w:r w:rsidR="005C48A1">
        <w:t>on</w:t>
      </w:r>
      <w:r>
        <w:t xml:space="preserve"> a business</w:t>
      </w:r>
      <w:r w:rsidR="005C48A1">
        <w:t>'s</w:t>
      </w:r>
      <w:r>
        <w:t xml:space="preserve"> ability to successfully execute its business functions </w:t>
      </w:r>
      <w:r w:rsidR="005C48A1">
        <w:t xml:space="preserve">and </w:t>
      </w:r>
      <w:r>
        <w:t xml:space="preserve">processes and provide business services to its customers requires every cloud migration to be meticulously planned and executed with due care and diligence. </w:t>
      </w:r>
      <w:r w:rsidR="00842B1A">
        <w:t xml:space="preserve">Figure 1 </w:t>
      </w:r>
      <w:r w:rsidR="00842B1A">
        <w:lastRenderedPageBreak/>
        <w:t xml:space="preserve">below provides a sample structure for a </w:t>
      </w:r>
      <w:r w:rsidR="004154A1">
        <w:t xml:space="preserve">cloud </w:t>
      </w:r>
      <w:r w:rsidR="00842B1A">
        <w:t>migration process.</w:t>
      </w:r>
      <w:r w:rsidR="00DE1C51">
        <w:t xml:space="preserve"> </w:t>
      </w:r>
      <w:r w:rsidR="009F6F51">
        <w:t xml:space="preserve">A successful cloud migration relies heavily on identifying business needs and planning. Maximizing organizational ROI </w:t>
      </w:r>
      <w:r w:rsidR="00621766">
        <w:t>and minimizing organizational risk</w:t>
      </w:r>
      <w:r w:rsidR="005C48A1">
        <w:t xml:space="preserve"> </w:t>
      </w:r>
      <w:r w:rsidR="009F6F51">
        <w:t>for cloud services requires careful consideration of</w:t>
      </w:r>
      <w:r w:rsidR="005C48A1">
        <w:t xml:space="preserve"> existing and future</w:t>
      </w:r>
      <w:r w:rsidR="009F6F51">
        <w:t xml:space="preserve"> business needs</w:t>
      </w:r>
      <w:r w:rsidR="005C48A1">
        <w:t xml:space="preserve"> and </w:t>
      </w:r>
      <w:r w:rsidR="00621766">
        <w:t xml:space="preserve">alignment </w:t>
      </w:r>
      <w:r w:rsidR="009F6F51">
        <w:t xml:space="preserve">of cloud </w:t>
      </w:r>
      <w:r w:rsidR="00621766">
        <w:t xml:space="preserve">services with business goals. </w:t>
      </w:r>
    </w:p>
    <w:p w14:paraId="4F0F1070" w14:textId="7796C635" w:rsidR="00842B1A" w:rsidRDefault="00DE1C51" w:rsidP="00842B1A">
      <w:r>
        <w:rPr>
          <w:noProof/>
        </w:rPr>
        <mc:AlternateContent>
          <mc:Choice Requires="wps">
            <w:drawing>
              <wp:anchor distT="0" distB="0" distL="114300" distR="114300" simplePos="0" relativeHeight="251660288" behindDoc="0" locked="0" layoutInCell="1" allowOverlap="1" wp14:anchorId="4374F230" wp14:editId="17067F93">
                <wp:simplePos x="0" y="0"/>
                <wp:positionH relativeFrom="column">
                  <wp:posOffset>-125095</wp:posOffset>
                </wp:positionH>
                <wp:positionV relativeFrom="paragraph">
                  <wp:posOffset>2826385</wp:posOffset>
                </wp:positionV>
                <wp:extent cx="619760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197600" cy="635"/>
                        </a:xfrm>
                        <a:prstGeom prst="rect">
                          <a:avLst/>
                        </a:prstGeom>
                        <a:solidFill>
                          <a:prstClr val="white"/>
                        </a:solidFill>
                        <a:ln>
                          <a:noFill/>
                        </a:ln>
                      </wps:spPr>
                      <wps:txbx>
                        <w:txbxContent>
                          <w:p w14:paraId="5FA6EFB9" w14:textId="286BE4C6" w:rsidR="00DE1C51" w:rsidRPr="00213F94" w:rsidRDefault="00DE1C51" w:rsidP="00DE1C51">
                            <w:pPr>
                              <w:pStyle w:val="Caption"/>
                              <w:rPr>
                                <w:noProof/>
                                <w:sz w:val="24"/>
                                <w:szCs w:val="24"/>
                              </w:rPr>
                            </w:pPr>
                            <w:r>
                              <w:t xml:space="preserve">Figure </w:t>
                            </w:r>
                            <w:fldSimple w:instr=" SEQ Figure \* ARABIC ">
                              <w:r>
                                <w:rPr>
                                  <w:noProof/>
                                </w:rPr>
                                <w:t>1</w:t>
                              </w:r>
                            </w:fldSimple>
                            <w:r>
                              <w:t xml:space="preserve"> - Sample Cloud Migration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374F230" id="_x0000_t202" coordsize="21600,21600" o:spt="202" path="m,l,21600r21600,l21600,xe">
                <v:stroke joinstyle="miter"/>
                <v:path gradientshapeok="t" o:connecttype="rect"/>
              </v:shapetype>
              <v:shape id="Text Box 3" o:spid="_x0000_s1026" type="#_x0000_t202" style="position:absolute;left:0;text-align:left;margin-left:-9.85pt;margin-top:222.55pt;width:48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" stroked="f">
                <v:textbox style="mso-fit-shape-to-text:t" inset="0,0,0,0">
                  <w:txbxContent>
                    <w:p w14:paraId="5FA6EFB9" w14:textId="286BE4C6" w:rsidR="00DE1C51" w:rsidRPr="00213F94" w:rsidRDefault="00DE1C51" w:rsidP="00DE1C51">
                      <w:pPr>
                        <w:pStyle w:val="Caption"/>
                        <w:rPr>
                          <w:noProof/>
                          <w:sz w:val="24"/>
                          <w:szCs w:val="24"/>
                        </w:rPr>
                      </w:pPr>
                      <w:r>
                        <w:t xml:space="preserve">Figure </w:t>
                      </w:r>
                      <w:fldSimple w:instr=" SEQ Figure \* ARABIC ">
                        <w:r>
                          <w:rPr>
                            <w:noProof/>
                          </w:rPr>
                          <w:t>1</w:t>
                        </w:r>
                      </w:fldSimple>
                      <w:r>
                        <w:t xml:space="preserve"> - Sample Cloud Migration Process</w:t>
                      </w:r>
                    </w:p>
                  </w:txbxContent>
                </v:textbox>
                <w10:wrap type="topAndBottom"/>
              </v:shape>
            </w:pict>
          </mc:Fallback>
        </mc:AlternateContent>
      </w:r>
      <w:r w:rsidR="00842B1A">
        <w:rPr>
          <w:noProof/>
        </w:rPr>
        <w:drawing>
          <wp:anchor distT="0" distB="0" distL="114300" distR="114300" simplePos="0" relativeHeight="251658240" behindDoc="0" locked="0" layoutInCell="1" allowOverlap="1" wp14:anchorId="5725C925" wp14:editId="33BB2AC9">
            <wp:simplePos x="0" y="0"/>
            <wp:positionH relativeFrom="margin">
              <wp:posOffset>-125095</wp:posOffset>
            </wp:positionH>
            <wp:positionV relativeFrom="paragraph">
              <wp:posOffset>0</wp:posOffset>
            </wp:positionV>
            <wp:extent cx="6197600" cy="2769235"/>
            <wp:effectExtent l="19050" t="0" r="1270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621766">
        <w:t xml:space="preserve">Based on industry experience and internal experiences with cloud </w:t>
      </w:r>
      <w:r w:rsidR="00A97C44">
        <w:t xml:space="preserve">migration activities, we recommend spending </w:t>
      </w:r>
      <w:r w:rsidR="005C48A1">
        <w:t>significant</w:t>
      </w:r>
      <w:r w:rsidR="00A97C44">
        <w:t xml:space="preserve"> time and resources crafting a well</w:t>
      </w:r>
      <w:r w:rsidR="005C48A1">
        <w:t>-</w:t>
      </w:r>
      <w:r w:rsidR="00A97C44">
        <w:t xml:space="preserve">defined plan. </w:t>
      </w:r>
      <w:r w:rsidR="005C48A1">
        <w:t>W</w:t>
      </w:r>
      <w:r w:rsidR="00A97C44">
        <w:t>h</w:t>
      </w:r>
      <w:r w:rsidR="005C48A1">
        <w:t>en</w:t>
      </w:r>
      <w:r w:rsidR="00A97C44">
        <w:t xml:space="preserve"> in-house </w:t>
      </w:r>
      <w:r w:rsidR="005C48A1">
        <w:t xml:space="preserve">cloud </w:t>
      </w:r>
      <w:r w:rsidR="00A97C44">
        <w:t xml:space="preserve">expertise is insufficient, organizations should seek </w:t>
      </w:r>
      <w:r w:rsidR="005C48A1">
        <w:t>consulting services</w:t>
      </w:r>
      <w:r w:rsidR="00A97C44">
        <w:t xml:space="preserve"> throughout the migration process </w:t>
      </w:r>
      <w:r w:rsidR="005C48A1">
        <w:t>to ensure</w:t>
      </w:r>
      <w:r w:rsidR="00A97C44">
        <w:t xml:space="preserve"> all facets of the migration are carefully evaluated and considered.</w:t>
      </w:r>
      <w:r w:rsidR="00583092">
        <w:t xml:space="preserve"> </w:t>
      </w:r>
      <w:r w:rsidR="005C48A1">
        <w:t>One</w:t>
      </w:r>
      <w:r w:rsidR="00583092">
        <w:t xml:space="preserve"> tiny oversight </w:t>
      </w:r>
      <w:r w:rsidR="005C48A1">
        <w:t>can potentially</w:t>
      </w:r>
      <w:r w:rsidR="00583092">
        <w:t xml:space="preserve"> have significant implications for a cloud migration project</w:t>
      </w:r>
      <w:r w:rsidR="005C48A1">
        <w:t>. B</w:t>
      </w:r>
      <w:r w:rsidR="00583092">
        <w:t xml:space="preserve">y leveraging trained and experienced IT professionals or consulting services, organizations seeking to move workloads to the cloud </w:t>
      </w:r>
      <w:r w:rsidR="005C48A1">
        <w:t>are more likely to complete</w:t>
      </w:r>
      <w:r w:rsidR="00583092">
        <w:t xml:space="preserve"> their migration with minimal impact </w:t>
      </w:r>
      <w:r w:rsidR="005C48A1">
        <w:t>on</w:t>
      </w:r>
      <w:r w:rsidR="00583092">
        <w:t xml:space="preserve"> business operations and ensure that key challenges are identified and mitigated ahead of time.</w:t>
      </w:r>
    </w:p>
    <w:p w14:paraId="0F9E2DAF" w14:textId="77777777" w:rsidR="00400441" w:rsidRPr="00400441" w:rsidRDefault="00400441" w:rsidP="00400441"/>
    <w:bookmarkStart w:id="23" w:name="_Toc110602320" w:displacedByCustomXml="next"/>
    <w:sdt>
      <w:sdtPr>
        <w:rPr>
          <w:rFonts w:asciiTheme="minorHAnsi" w:eastAsiaTheme="minorEastAsia" w:hAnsiTheme="minorHAnsi" w:cstheme="minorBidi"/>
        </w:rPr>
        <w:id w:val="62297111"/>
        <w:docPartObj>
          <w:docPartGallery w:val="Bibliographies"/>
          <w:docPartUnique/>
        </w:docPartObj>
      </w:sdtPr>
      <w:sdtContent>
        <w:p w14:paraId="37B8FF08" w14:textId="77777777" w:rsidR="00E81978" w:rsidRDefault="005D3A03">
          <w:pPr>
            <w:pStyle w:val="SectionTitle"/>
          </w:pPr>
          <w:r>
            <w:t>References</w:t>
          </w:r>
          <w:bookmarkEnd w:id="23"/>
        </w:p>
        <w:p w14:paraId="454F4096" w14:textId="77777777" w:rsidR="00073D79" w:rsidRDefault="00C31D30" w:rsidP="00073D79">
          <w:pPr>
            <w:pStyle w:val="Bibliography"/>
            <w:rPr>
              <w:noProof/>
            </w:rPr>
          </w:pPr>
          <w:r>
            <w:fldChar w:fldCharType="begin"/>
          </w:r>
          <w:r>
            <w:instrText xml:space="preserve"> BIBLIOGRAPHY </w:instrText>
          </w:r>
          <w:r>
            <w:fldChar w:fldCharType="separate"/>
          </w:r>
          <w:r w:rsidR="00073D79">
            <w:rPr>
              <w:noProof/>
            </w:rPr>
            <w:t xml:space="preserve">Andrikopoulos, V., Binz, T., Leymann, F., &amp; Strauch, S. (2013). How to adapt applications for the Cloud environment: Challenges and solutions in migrating applications to the Cloud. </w:t>
          </w:r>
          <w:r w:rsidR="00073D79">
            <w:rPr>
              <w:i/>
              <w:iCs/>
              <w:noProof/>
            </w:rPr>
            <w:t>Computing, 95</w:t>
          </w:r>
          <w:r w:rsidR="00073D79">
            <w:rPr>
              <w:noProof/>
            </w:rPr>
            <w:t>, 493-535. doi:10.1007/s00607-012-0248-2</w:t>
          </w:r>
        </w:p>
        <w:p w14:paraId="0C6DA259" w14:textId="77777777" w:rsidR="00073D79" w:rsidRDefault="00073D79" w:rsidP="00073D79">
          <w:pPr>
            <w:pStyle w:val="Bibliography"/>
            <w:rPr>
              <w:noProof/>
            </w:rPr>
          </w:pPr>
          <w:r>
            <w:rPr>
              <w:noProof/>
            </w:rPr>
            <w:t xml:space="preserve">Baarz, M. (2020, May 6). </w:t>
          </w:r>
          <w:r>
            <w:rPr>
              <w:i/>
              <w:iCs/>
              <w:noProof/>
            </w:rPr>
            <w:t>Confusion in the Cloud: Greenfield or Brownfield?</w:t>
          </w:r>
          <w:r>
            <w:rPr>
              <w:noProof/>
            </w:rPr>
            <w:t xml:space="preserve"> Retrieved from Capgemini: https://www.capgemini.com/se-en/2020/05/confusion-in-the-cloud-greenfield-or-brownfield/</w:t>
          </w:r>
        </w:p>
        <w:p w14:paraId="64F9DA5D" w14:textId="77777777" w:rsidR="00073D79" w:rsidRDefault="00073D79" w:rsidP="00073D79">
          <w:pPr>
            <w:pStyle w:val="Bibliography"/>
            <w:rPr>
              <w:noProof/>
            </w:rPr>
          </w:pPr>
          <w:r>
            <w:rPr>
              <w:noProof/>
            </w:rPr>
            <w:t xml:space="preserve">DevOpsGroup. (2021, September 10). </w:t>
          </w:r>
          <w:r>
            <w:rPr>
              <w:i/>
              <w:iCs/>
              <w:noProof/>
            </w:rPr>
            <w:t>3 reasons cloud migrations fail (and how to make sure yours doesn’t)</w:t>
          </w:r>
          <w:r>
            <w:rPr>
              <w:noProof/>
            </w:rPr>
            <w:t>. Retrieved from DevOpsGroup: https://www.devopsgroup.com/blog/3-reasons-cloud-migrations-fail-and-how-to-make-sure-yours-doesnt/</w:t>
          </w:r>
        </w:p>
        <w:p w14:paraId="603B1E2A" w14:textId="77777777" w:rsidR="00073D79" w:rsidRDefault="00073D79" w:rsidP="00073D79">
          <w:pPr>
            <w:pStyle w:val="Bibliography"/>
            <w:rPr>
              <w:noProof/>
            </w:rPr>
          </w:pPr>
          <w:r>
            <w:rPr>
              <w:noProof/>
            </w:rPr>
            <w:t xml:space="preserve">Fahmideh, M., Low, G., Beydoun, G., &amp; Daneshgar, F. (2016). Cloud Migration Process A Survey Evaluation Framework and Open Challenges. </w:t>
          </w:r>
          <w:r>
            <w:rPr>
              <w:i/>
              <w:iCs/>
              <w:noProof/>
            </w:rPr>
            <w:t>Journal of Systems and Software, 120</w:t>
          </w:r>
          <w:r>
            <w:rPr>
              <w:noProof/>
            </w:rPr>
            <w:t>, 31-69. doi:10.48550/arXiv.2004.10725</w:t>
          </w:r>
        </w:p>
        <w:p w14:paraId="57011F2D" w14:textId="77777777" w:rsidR="00073D79" w:rsidRDefault="00073D79" w:rsidP="00073D79">
          <w:pPr>
            <w:pStyle w:val="Bibliography"/>
            <w:rPr>
              <w:noProof/>
            </w:rPr>
          </w:pPr>
          <w:r>
            <w:rPr>
              <w:noProof/>
            </w:rPr>
            <w:t xml:space="preserve">Gholami, M. F., Daneshgar, F., Beydoun, G., &amp; Rabhi, F. (2017). Challenges in migrating legacy software systems to the cloud — an empirical study. </w:t>
          </w:r>
          <w:r>
            <w:rPr>
              <w:i/>
              <w:iCs/>
              <w:noProof/>
            </w:rPr>
            <w:t>Information Systems</w:t>
          </w:r>
          <w:r>
            <w:rPr>
              <w:noProof/>
            </w:rPr>
            <w:t>, 100-113. doi:10.1016/j.is.2017.03.008</w:t>
          </w:r>
        </w:p>
        <w:p w14:paraId="6115ED18" w14:textId="77777777" w:rsidR="00073D79" w:rsidRDefault="00073D79" w:rsidP="00073D79">
          <w:pPr>
            <w:pStyle w:val="Bibliography"/>
            <w:rPr>
              <w:noProof/>
            </w:rPr>
          </w:pPr>
          <w:r>
            <w:rPr>
              <w:noProof/>
            </w:rPr>
            <w:t xml:space="preserve">Iqbal, A., &amp; Colomo-Palacios, R. (2019). Key Opportunities and Challenges of Data Migration in Cloud: Results from a Multivocal Literature Review. </w:t>
          </w:r>
          <w:r>
            <w:rPr>
              <w:i/>
              <w:iCs/>
              <w:noProof/>
            </w:rPr>
            <w:t>Procedia Computer Science.</w:t>
          </w:r>
          <w:r>
            <w:rPr>
              <w:noProof/>
            </w:rPr>
            <w:t xml:space="preserve"> </w:t>
          </w:r>
          <w:r>
            <w:rPr>
              <w:i/>
              <w:iCs/>
              <w:noProof/>
            </w:rPr>
            <w:t>164</w:t>
          </w:r>
          <w:r>
            <w:rPr>
              <w:noProof/>
            </w:rPr>
            <w:t>, pp. 48-55. Halden: Elsevier B.V. doi:10.1016/j.procs.2019.12.153</w:t>
          </w:r>
        </w:p>
        <w:p w14:paraId="21359334" w14:textId="77777777" w:rsidR="00073D79" w:rsidRDefault="00073D79" w:rsidP="00073D79">
          <w:pPr>
            <w:pStyle w:val="Bibliography"/>
            <w:rPr>
              <w:noProof/>
            </w:rPr>
          </w:pPr>
          <w:r>
            <w:rPr>
              <w:noProof/>
            </w:rPr>
            <w:t xml:space="preserve">ORock Technologies. (2021, January). </w:t>
          </w:r>
          <w:r>
            <w:rPr>
              <w:i/>
              <w:iCs/>
              <w:noProof/>
            </w:rPr>
            <w:t>A Practical Guide to Mission-Critical Cloud Computing</w:t>
          </w:r>
          <w:r>
            <w:rPr>
              <w:noProof/>
            </w:rPr>
            <w:t>. Retrieved from Orock Technologies: https://go.orocktech.com/Mission-Critical_Cloud_Computing</w:t>
          </w:r>
        </w:p>
        <w:p w14:paraId="1F5CF16F" w14:textId="77777777" w:rsidR="00073D79" w:rsidRDefault="00073D79" w:rsidP="00073D79">
          <w:pPr>
            <w:pStyle w:val="Bibliography"/>
            <w:rPr>
              <w:noProof/>
            </w:rPr>
          </w:pPr>
          <w:r>
            <w:rPr>
              <w:noProof/>
            </w:rPr>
            <w:t xml:space="preserve">ORock Technologies. (2022). </w:t>
          </w:r>
          <w:r>
            <w:rPr>
              <w:i/>
              <w:iCs/>
              <w:noProof/>
            </w:rPr>
            <w:t>For the Healthcare Industry, It’s (Past) Time To Modernize Your Storage Solution</w:t>
          </w:r>
          <w:r>
            <w:rPr>
              <w:noProof/>
            </w:rPr>
            <w:t>. Retrieved from ORock Technologies: https://go.orocktech.com/Healthcare_Time_to_Modernize</w:t>
          </w:r>
        </w:p>
        <w:p w14:paraId="4BA6E400" w14:textId="77777777" w:rsidR="00073D79" w:rsidRDefault="00073D79" w:rsidP="00073D79">
          <w:pPr>
            <w:pStyle w:val="Bibliography"/>
            <w:rPr>
              <w:noProof/>
            </w:rPr>
          </w:pPr>
          <w:r>
            <w:rPr>
              <w:noProof/>
            </w:rPr>
            <w:t xml:space="preserve">Perry, Y. (2021, May 30). </w:t>
          </w:r>
          <w:r>
            <w:rPr>
              <w:i/>
              <w:iCs/>
              <w:noProof/>
            </w:rPr>
            <w:t>What is Cloud Migration? Strategy, Process and Tools</w:t>
          </w:r>
          <w:r>
            <w:rPr>
              <w:noProof/>
            </w:rPr>
            <w:t>. Retrieved from NetApp: https://cloud.netapp.com/blog/cloud-migration-strategy-challenges-and-steps</w:t>
          </w:r>
        </w:p>
        <w:p w14:paraId="5C85A213" w14:textId="3BADB35F" w:rsidR="00073D79" w:rsidRDefault="00073D79" w:rsidP="00073D79">
          <w:pPr>
            <w:pStyle w:val="Bibliography"/>
            <w:rPr>
              <w:noProof/>
            </w:rPr>
          </w:pPr>
          <w:r>
            <w:rPr>
              <w:noProof/>
            </w:rPr>
            <w:t xml:space="preserve">Rimol, M. (2022, April 19). </w:t>
          </w:r>
          <w:r>
            <w:rPr>
              <w:i/>
              <w:iCs/>
              <w:noProof/>
            </w:rPr>
            <w:t>Gartner Forecasts Worldwide Public Cloud End-User Spending to Reach Nearly $500 Billion in 2022</w:t>
          </w:r>
          <w:r>
            <w:rPr>
              <w:noProof/>
            </w:rPr>
            <w:t>. Retrieved from Gartner: https://www.gartner.com/en/newsroom/press-releases/2022-04-19-gartner-forecasts-worldwide-public-cloud-end-user-spending-to-reach-nearly-500-billion-in-2022</w:t>
          </w:r>
        </w:p>
        <w:p w14:paraId="0DA79716" w14:textId="77777777" w:rsidR="00073D79" w:rsidRDefault="00073D79" w:rsidP="00073D79">
          <w:pPr>
            <w:pStyle w:val="Bibliography"/>
            <w:rPr>
              <w:noProof/>
            </w:rPr>
          </w:pPr>
          <w:r>
            <w:rPr>
              <w:noProof/>
            </w:rPr>
            <w:lastRenderedPageBreak/>
            <w:t xml:space="preserve">SambaNova Systems. (2021). </w:t>
          </w:r>
          <w:r>
            <w:rPr>
              <w:i/>
              <w:iCs/>
              <w:noProof/>
            </w:rPr>
            <w:t>Accelerated Computing with a Reconfigurable Dataflow Architecture</w:t>
          </w:r>
          <w:r>
            <w:rPr>
              <w:noProof/>
            </w:rPr>
            <w:t>. Retrieved from SambaNova Systems: https://sambanova.ai/wp-content/uploads/2021/04/SambaNova_Accelerated-Computing-with-a-Reconfigurable-Dataflow-Architecture_Whitepaper_English.pdf</w:t>
          </w:r>
        </w:p>
        <w:p w14:paraId="715BD4D8" w14:textId="77777777" w:rsidR="00073D79" w:rsidRDefault="00073D79" w:rsidP="00073D79">
          <w:pPr>
            <w:pStyle w:val="Bibliography"/>
            <w:rPr>
              <w:noProof/>
            </w:rPr>
          </w:pPr>
          <w:r>
            <w:rPr>
              <w:noProof/>
            </w:rPr>
            <w:t xml:space="preserve">Threat Stack. (2022). </w:t>
          </w:r>
          <w:r>
            <w:rPr>
              <w:i/>
              <w:iCs/>
              <w:noProof/>
            </w:rPr>
            <w:t>7 Factors to Help You Choose the Right Cloud Service Provider</w:t>
          </w:r>
          <w:r>
            <w:rPr>
              <w:noProof/>
            </w:rPr>
            <w:t>. Retrieved from Threat Stack: https://www.threatstack.com/blog/7-factors-to-help-you-choose-the-right-cloud-service-provider</w:t>
          </w:r>
        </w:p>
        <w:p w14:paraId="6B0168F6" w14:textId="77777777" w:rsidR="00073D79" w:rsidRDefault="00073D79" w:rsidP="00073D79">
          <w:pPr>
            <w:pStyle w:val="Bibliography"/>
            <w:rPr>
              <w:noProof/>
            </w:rPr>
          </w:pPr>
          <w:r>
            <w:rPr>
              <w:noProof/>
            </w:rPr>
            <w:t xml:space="preserve">Wilson, J. (2019). </w:t>
          </w:r>
          <w:r>
            <w:rPr>
              <w:i/>
              <w:iCs/>
              <w:noProof/>
            </w:rPr>
            <w:t>The Bi-Directional Cloud Highway:User Attitudes about Securing Hybrid- and Multi-Cloud Environments.</w:t>
          </w:r>
          <w:r>
            <w:rPr>
              <w:noProof/>
            </w:rPr>
            <w:t xml:space="preserve"> London: IHS Markit. Retrieved from https://www.fortinet.com/content/dam/fortinet/assets/analyst-reports/ar-2019-ihsm-fortinet-wp-q2.pdf</w:t>
          </w:r>
        </w:p>
        <w:p w14:paraId="67BE8CBE" w14:textId="77777777" w:rsidR="00255F21" w:rsidRDefault="00C31D30" w:rsidP="00073D79">
          <w:pPr>
            <w:pStyle w:val="Bibliography"/>
          </w:pPr>
          <w:r>
            <w:rPr>
              <w:b/>
              <w:bCs/>
              <w:noProof/>
            </w:rPr>
            <w:fldChar w:fldCharType="end"/>
          </w:r>
        </w:p>
      </w:sdtContent>
    </w:sdt>
    <w:p w14:paraId="17CBE3E0" w14:textId="2F83B01D" w:rsidR="00E81978" w:rsidRDefault="00255F21" w:rsidP="005B311E">
      <w:pPr>
        <w:pStyle w:val="Bibliography"/>
        <w:rPr>
          <w:noProof/>
        </w:rPr>
      </w:pPr>
      <w:r>
        <w:rPr>
          <w:noProof/>
        </w:rPr>
        <w:t xml:space="preserve"> </w:t>
      </w:r>
    </w:p>
    <w:sectPr w:rsidR="00E81978">
      <w:headerReference w:type="default" r:id="rId15"/>
      <w:headerReference w:type="first" r:id="rId1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A671" w14:textId="77777777" w:rsidR="005B0235" w:rsidRDefault="005B0235">
      <w:pPr>
        <w:spacing w:line="240" w:lineRule="auto"/>
      </w:pPr>
      <w:r>
        <w:separator/>
      </w:r>
    </w:p>
    <w:p w14:paraId="705B0880" w14:textId="77777777" w:rsidR="005B0235" w:rsidRDefault="005B0235"/>
  </w:endnote>
  <w:endnote w:type="continuationSeparator" w:id="0">
    <w:p w14:paraId="208C6F09" w14:textId="77777777" w:rsidR="005B0235" w:rsidRDefault="005B0235">
      <w:pPr>
        <w:spacing w:line="240" w:lineRule="auto"/>
      </w:pPr>
      <w:r>
        <w:continuationSeparator/>
      </w:r>
    </w:p>
    <w:p w14:paraId="468C66F0" w14:textId="77777777" w:rsidR="005B0235" w:rsidRDefault="005B0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17BF" w14:textId="77777777" w:rsidR="005B0235" w:rsidRDefault="005B0235">
      <w:pPr>
        <w:spacing w:line="240" w:lineRule="auto"/>
      </w:pPr>
      <w:r>
        <w:separator/>
      </w:r>
    </w:p>
    <w:p w14:paraId="12F7E8B0" w14:textId="77777777" w:rsidR="005B0235" w:rsidRDefault="005B0235"/>
  </w:footnote>
  <w:footnote w:type="continuationSeparator" w:id="0">
    <w:p w14:paraId="47E864DC" w14:textId="77777777" w:rsidR="005B0235" w:rsidRDefault="005B0235">
      <w:pPr>
        <w:spacing w:line="240" w:lineRule="auto"/>
      </w:pPr>
      <w:r>
        <w:continuationSeparator/>
      </w:r>
    </w:p>
    <w:p w14:paraId="39723486" w14:textId="77777777" w:rsidR="005B0235" w:rsidRDefault="005B0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CD4E" w14:textId="6AC9ECE7" w:rsidR="00E81978" w:rsidRDefault="00000000">
    <w:pPr>
      <w:pStyle w:val="Header"/>
    </w:pPr>
    <w:sdt>
      <w:sdtPr>
        <w:rPr>
          <w:rStyle w:val="Strong"/>
        </w:rPr>
        <w:alias w:val="Running head"/>
        <w:tag w:val=""/>
        <w:id w:val="12739865"/>
        <w:placeholder>
          <w:docPart w:val="564E2A9B498544F39BEFA0AFC60F636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69D8">
          <w:rPr>
            <w:rStyle w:val="Strong"/>
          </w:rPr>
          <w:t>Cloud migration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EFAE" w14:textId="792C3EEF" w:rsidR="00E81978" w:rsidRDefault="005D3A03">
    <w:pPr>
      <w:pStyle w:val="Header"/>
      <w:rPr>
        <w:rStyle w:val="Strong"/>
      </w:rPr>
    </w:pPr>
    <w:r>
      <w:t xml:space="preserve">Running head: </w:t>
    </w:r>
    <w:sdt>
      <w:sdtPr>
        <w:rPr>
          <w:rStyle w:val="Strong"/>
        </w:rPr>
        <w:alias w:val="Running head"/>
        <w:tag w:val=""/>
        <w:id w:val="-696842620"/>
        <w:placeholder>
          <w:docPart w:val="E7DD44E46D934A8CBCC34F54F7BD70C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69D8">
          <w:rPr>
            <w:rStyle w:val="Strong"/>
          </w:rPr>
          <w:t>Cloud migration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9223183">
    <w:abstractNumId w:val="9"/>
  </w:num>
  <w:num w:numId="2" w16cid:durableId="1942182533">
    <w:abstractNumId w:val="7"/>
  </w:num>
  <w:num w:numId="3" w16cid:durableId="1926987028">
    <w:abstractNumId w:val="6"/>
  </w:num>
  <w:num w:numId="4" w16cid:durableId="1716155091">
    <w:abstractNumId w:val="5"/>
  </w:num>
  <w:num w:numId="5" w16cid:durableId="983236946">
    <w:abstractNumId w:val="4"/>
  </w:num>
  <w:num w:numId="6" w16cid:durableId="818762564">
    <w:abstractNumId w:val="8"/>
  </w:num>
  <w:num w:numId="7" w16cid:durableId="1682000591">
    <w:abstractNumId w:val="3"/>
  </w:num>
  <w:num w:numId="8" w16cid:durableId="141040920">
    <w:abstractNumId w:val="2"/>
  </w:num>
  <w:num w:numId="9" w16cid:durableId="975062630">
    <w:abstractNumId w:val="1"/>
  </w:num>
  <w:num w:numId="10" w16cid:durableId="1986082079">
    <w:abstractNumId w:val="0"/>
  </w:num>
  <w:num w:numId="11" w16cid:durableId="2117433764">
    <w:abstractNumId w:val="9"/>
    <w:lvlOverride w:ilvl="0">
      <w:startOverride w:val="1"/>
    </w:lvlOverride>
  </w:num>
  <w:num w:numId="12" w16cid:durableId="753013425">
    <w:abstractNumId w:val="13"/>
  </w:num>
  <w:num w:numId="13" w16cid:durableId="1506096650">
    <w:abstractNumId w:val="11"/>
  </w:num>
  <w:num w:numId="14" w16cid:durableId="1002313355">
    <w:abstractNumId w:val="10"/>
  </w:num>
  <w:num w:numId="15" w16cid:durableId="18246631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zMDa1NDQ0NjMzNDVX0lEKTi0uzszPAykwrwUAXL+LASwAAAA="/>
  </w:docVars>
  <w:rsids>
    <w:rsidRoot w:val="00EA69D8"/>
    <w:rsid w:val="00000AA6"/>
    <w:rsid w:val="0000515D"/>
    <w:rsid w:val="000064FF"/>
    <w:rsid w:val="0000745C"/>
    <w:rsid w:val="00013E4A"/>
    <w:rsid w:val="00016474"/>
    <w:rsid w:val="000172A8"/>
    <w:rsid w:val="000213E9"/>
    <w:rsid w:val="00031421"/>
    <w:rsid w:val="0003719F"/>
    <w:rsid w:val="00041F05"/>
    <w:rsid w:val="000508E2"/>
    <w:rsid w:val="00054406"/>
    <w:rsid w:val="00060BF2"/>
    <w:rsid w:val="00064642"/>
    <w:rsid w:val="00067B28"/>
    <w:rsid w:val="00067F3E"/>
    <w:rsid w:val="0007359B"/>
    <w:rsid w:val="00073D79"/>
    <w:rsid w:val="00074492"/>
    <w:rsid w:val="00084D83"/>
    <w:rsid w:val="000928DF"/>
    <w:rsid w:val="00093DB4"/>
    <w:rsid w:val="00094C3F"/>
    <w:rsid w:val="000951CA"/>
    <w:rsid w:val="000A1A57"/>
    <w:rsid w:val="000B1F20"/>
    <w:rsid w:val="000B28BB"/>
    <w:rsid w:val="000B4FFE"/>
    <w:rsid w:val="000B729B"/>
    <w:rsid w:val="000C0B5F"/>
    <w:rsid w:val="000C10D5"/>
    <w:rsid w:val="000C7D4F"/>
    <w:rsid w:val="000D1CD8"/>
    <w:rsid w:val="000D3F41"/>
    <w:rsid w:val="000D55B2"/>
    <w:rsid w:val="000E5234"/>
    <w:rsid w:val="000E62B6"/>
    <w:rsid w:val="000F3B2E"/>
    <w:rsid w:val="000F4373"/>
    <w:rsid w:val="000F4CB8"/>
    <w:rsid w:val="000F6457"/>
    <w:rsid w:val="000F7E28"/>
    <w:rsid w:val="001016BF"/>
    <w:rsid w:val="00101A15"/>
    <w:rsid w:val="00103A37"/>
    <w:rsid w:val="00106663"/>
    <w:rsid w:val="00106DE9"/>
    <w:rsid w:val="00107DF5"/>
    <w:rsid w:val="00111FAC"/>
    <w:rsid w:val="00115FCA"/>
    <w:rsid w:val="00120E6A"/>
    <w:rsid w:val="00131716"/>
    <w:rsid w:val="001335D3"/>
    <w:rsid w:val="00135686"/>
    <w:rsid w:val="00136DEB"/>
    <w:rsid w:val="00136F36"/>
    <w:rsid w:val="0014134D"/>
    <w:rsid w:val="001434BD"/>
    <w:rsid w:val="001478F1"/>
    <w:rsid w:val="00157708"/>
    <w:rsid w:val="00162515"/>
    <w:rsid w:val="00162836"/>
    <w:rsid w:val="00164E38"/>
    <w:rsid w:val="00166106"/>
    <w:rsid w:val="00167E24"/>
    <w:rsid w:val="001751B6"/>
    <w:rsid w:val="00175656"/>
    <w:rsid w:val="001808B4"/>
    <w:rsid w:val="001812A6"/>
    <w:rsid w:val="001817AD"/>
    <w:rsid w:val="00183352"/>
    <w:rsid w:val="00183DE7"/>
    <w:rsid w:val="001910C5"/>
    <w:rsid w:val="00193557"/>
    <w:rsid w:val="001A4713"/>
    <w:rsid w:val="001B1C51"/>
    <w:rsid w:val="001B386C"/>
    <w:rsid w:val="001B71B1"/>
    <w:rsid w:val="001C0C3B"/>
    <w:rsid w:val="001C29CC"/>
    <w:rsid w:val="001C511C"/>
    <w:rsid w:val="001D2D1E"/>
    <w:rsid w:val="001D4B45"/>
    <w:rsid w:val="001D67D6"/>
    <w:rsid w:val="001D7473"/>
    <w:rsid w:val="001E2FDA"/>
    <w:rsid w:val="001E552A"/>
    <w:rsid w:val="001F16CC"/>
    <w:rsid w:val="002038F7"/>
    <w:rsid w:val="00204A38"/>
    <w:rsid w:val="00213257"/>
    <w:rsid w:val="00215EBA"/>
    <w:rsid w:val="0022456B"/>
    <w:rsid w:val="00224C8F"/>
    <w:rsid w:val="00225423"/>
    <w:rsid w:val="00255F21"/>
    <w:rsid w:val="00260383"/>
    <w:rsid w:val="00261073"/>
    <w:rsid w:val="00261929"/>
    <w:rsid w:val="00262FE5"/>
    <w:rsid w:val="00265490"/>
    <w:rsid w:val="00265E70"/>
    <w:rsid w:val="00266424"/>
    <w:rsid w:val="00281106"/>
    <w:rsid w:val="00284243"/>
    <w:rsid w:val="00286856"/>
    <w:rsid w:val="002903C3"/>
    <w:rsid w:val="00291C10"/>
    <w:rsid w:val="002A036F"/>
    <w:rsid w:val="002A1582"/>
    <w:rsid w:val="002A1685"/>
    <w:rsid w:val="002A406F"/>
    <w:rsid w:val="002B1874"/>
    <w:rsid w:val="002B6580"/>
    <w:rsid w:val="002B7462"/>
    <w:rsid w:val="002C5976"/>
    <w:rsid w:val="002D582C"/>
    <w:rsid w:val="002D674D"/>
    <w:rsid w:val="002E2AA9"/>
    <w:rsid w:val="002E2C7F"/>
    <w:rsid w:val="002F1B4A"/>
    <w:rsid w:val="002F7450"/>
    <w:rsid w:val="002F74AD"/>
    <w:rsid w:val="002F7CC3"/>
    <w:rsid w:val="00300E36"/>
    <w:rsid w:val="00303060"/>
    <w:rsid w:val="00305B5C"/>
    <w:rsid w:val="0030602A"/>
    <w:rsid w:val="0031181E"/>
    <w:rsid w:val="00316C51"/>
    <w:rsid w:val="0032211F"/>
    <w:rsid w:val="0032290D"/>
    <w:rsid w:val="0033142A"/>
    <w:rsid w:val="00332A00"/>
    <w:rsid w:val="00332D68"/>
    <w:rsid w:val="00336710"/>
    <w:rsid w:val="00340D4D"/>
    <w:rsid w:val="00342789"/>
    <w:rsid w:val="00345EEB"/>
    <w:rsid w:val="00347D25"/>
    <w:rsid w:val="00351A24"/>
    <w:rsid w:val="00351E53"/>
    <w:rsid w:val="00355DCA"/>
    <w:rsid w:val="0035688F"/>
    <w:rsid w:val="003657EF"/>
    <w:rsid w:val="003705B4"/>
    <w:rsid w:val="00372857"/>
    <w:rsid w:val="003763FC"/>
    <w:rsid w:val="00383C0E"/>
    <w:rsid w:val="00385FB7"/>
    <w:rsid w:val="00393B70"/>
    <w:rsid w:val="00393E3E"/>
    <w:rsid w:val="00394705"/>
    <w:rsid w:val="00395777"/>
    <w:rsid w:val="0039638F"/>
    <w:rsid w:val="003A12CB"/>
    <w:rsid w:val="003A20AE"/>
    <w:rsid w:val="003A2B69"/>
    <w:rsid w:val="003A2C2F"/>
    <w:rsid w:val="003A3F9F"/>
    <w:rsid w:val="003A5A90"/>
    <w:rsid w:val="003B25B2"/>
    <w:rsid w:val="003C0FBF"/>
    <w:rsid w:val="003C43F3"/>
    <w:rsid w:val="003C610A"/>
    <w:rsid w:val="003C6A17"/>
    <w:rsid w:val="003D0B89"/>
    <w:rsid w:val="003D306A"/>
    <w:rsid w:val="003D5860"/>
    <w:rsid w:val="003E04D4"/>
    <w:rsid w:val="003E4038"/>
    <w:rsid w:val="003E661D"/>
    <w:rsid w:val="003F14C1"/>
    <w:rsid w:val="003F4F63"/>
    <w:rsid w:val="003F532B"/>
    <w:rsid w:val="003F655B"/>
    <w:rsid w:val="003F7134"/>
    <w:rsid w:val="003F7490"/>
    <w:rsid w:val="00400441"/>
    <w:rsid w:val="004006F1"/>
    <w:rsid w:val="004007AB"/>
    <w:rsid w:val="004018CA"/>
    <w:rsid w:val="004154A1"/>
    <w:rsid w:val="00415C1B"/>
    <w:rsid w:val="00415CAC"/>
    <w:rsid w:val="00421BA1"/>
    <w:rsid w:val="0042784F"/>
    <w:rsid w:val="004314A8"/>
    <w:rsid w:val="00433271"/>
    <w:rsid w:val="00442FED"/>
    <w:rsid w:val="00443B43"/>
    <w:rsid w:val="00444472"/>
    <w:rsid w:val="00450059"/>
    <w:rsid w:val="00452402"/>
    <w:rsid w:val="004576FD"/>
    <w:rsid w:val="004707F5"/>
    <w:rsid w:val="00475AA5"/>
    <w:rsid w:val="00482341"/>
    <w:rsid w:val="00482D4C"/>
    <w:rsid w:val="00492919"/>
    <w:rsid w:val="004A532A"/>
    <w:rsid w:val="004B1F0E"/>
    <w:rsid w:val="004B2D00"/>
    <w:rsid w:val="004B2EAD"/>
    <w:rsid w:val="004B337D"/>
    <w:rsid w:val="004B5D61"/>
    <w:rsid w:val="004B6751"/>
    <w:rsid w:val="004B6C7D"/>
    <w:rsid w:val="004C1079"/>
    <w:rsid w:val="004C620D"/>
    <w:rsid w:val="004D79D2"/>
    <w:rsid w:val="004E0282"/>
    <w:rsid w:val="004E2A4E"/>
    <w:rsid w:val="004E5A00"/>
    <w:rsid w:val="004E7EDE"/>
    <w:rsid w:val="004F46FB"/>
    <w:rsid w:val="004F4A96"/>
    <w:rsid w:val="004F74AE"/>
    <w:rsid w:val="00501028"/>
    <w:rsid w:val="00501697"/>
    <w:rsid w:val="00502C52"/>
    <w:rsid w:val="00513E98"/>
    <w:rsid w:val="00515E55"/>
    <w:rsid w:val="00516055"/>
    <w:rsid w:val="00524555"/>
    <w:rsid w:val="005261DB"/>
    <w:rsid w:val="005332DA"/>
    <w:rsid w:val="00533FD3"/>
    <w:rsid w:val="00534EB9"/>
    <w:rsid w:val="00537A3B"/>
    <w:rsid w:val="00542428"/>
    <w:rsid w:val="00543644"/>
    <w:rsid w:val="0054704D"/>
    <w:rsid w:val="005470A9"/>
    <w:rsid w:val="005471CB"/>
    <w:rsid w:val="00551A02"/>
    <w:rsid w:val="005534FA"/>
    <w:rsid w:val="0055494E"/>
    <w:rsid w:val="00573F7B"/>
    <w:rsid w:val="00575DAF"/>
    <w:rsid w:val="00583092"/>
    <w:rsid w:val="0058368C"/>
    <w:rsid w:val="005837D6"/>
    <w:rsid w:val="0059597A"/>
    <w:rsid w:val="005A03E5"/>
    <w:rsid w:val="005B0235"/>
    <w:rsid w:val="005B311E"/>
    <w:rsid w:val="005B619C"/>
    <w:rsid w:val="005C4062"/>
    <w:rsid w:val="005C48A1"/>
    <w:rsid w:val="005C4D1E"/>
    <w:rsid w:val="005C5631"/>
    <w:rsid w:val="005D2AA8"/>
    <w:rsid w:val="005D2B05"/>
    <w:rsid w:val="005D3A03"/>
    <w:rsid w:val="005D3E6A"/>
    <w:rsid w:val="005D7AFB"/>
    <w:rsid w:val="005D7E52"/>
    <w:rsid w:val="005F3C7D"/>
    <w:rsid w:val="005F55B7"/>
    <w:rsid w:val="005F732A"/>
    <w:rsid w:val="005F745E"/>
    <w:rsid w:val="00602915"/>
    <w:rsid w:val="00602DDB"/>
    <w:rsid w:val="0060433C"/>
    <w:rsid w:val="00606746"/>
    <w:rsid w:val="00610D3C"/>
    <w:rsid w:val="00616C4D"/>
    <w:rsid w:val="00621766"/>
    <w:rsid w:val="0062273F"/>
    <w:rsid w:val="00627135"/>
    <w:rsid w:val="00630C99"/>
    <w:rsid w:val="0063227D"/>
    <w:rsid w:val="00632AE1"/>
    <w:rsid w:val="00632BBE"/>
    <w:rsid w:val="00635D8E"/>
    <w:rsid w:val="00636BAB"/>
    <w:rsid w:val="00637095"/>
    <w:rsid w:val="00641CE3"/>
    <w:rsid w:val="006450FA"/>
    <w:rsid w:val="00645823"/>
    <w:rsid w:val="00646205"/>
    <w:rsid w:val="006478EE"/>
    <w:rsid w:val="006505A6"/>
    <w:rsid w:val="006559EA"/>
    <w:rsid w:val="00660543"/>
    <w:rsid w:val="006613F4"/>
    <w:rsid w:val="006660E8"/>
    <w:rsid w:val="00666A9B"/>
    <w:rsid w:val="00670AE3"/>
    <w:rsid w:val="006843FA"/>
    <w:rsid w:val="006845C4"/>
    <w:rsid w:val="00684AC1"/>
    <w:rsid w:val="006861FC"/>
    <w:rsid w:val="00693C38"/>
    <w:rsid w:val="00695BC3"/>
    <w:rsid w:val="006976D7"/>
    <w:rsid w:val="006A0D24"/>
    <w:rsid w:val="006B5C56"/>
    <w:rsid w:val="006B6D61"/>
    <w:rsid w:val="006B7AA6"/>
    <w:rsid w:val="006C1AE5"/>
    <w:rsid w:val="006C1CA3"/>
    <w:rsid w:val="006C323E"/>
    <w:rsid w:val="006C59D4"/>
    <w:rsid w:val="006C78E0"/>
    <w:rsid w:val="006D6123"/>
    <w:rsid w:val="006D706D"/>
    <w:rsid w:val="006E2065"/>
    <w:rsid w:val="006E4454"/>
    <w:rsid w:val="006E5F9F"/>
    <w:rsid w:val="006F144F"/>
    <w:rsid w:val="006F2861"/>
    <w:rsid w:val="00701C19"/>
    <w:rsid w:val="00705858"/>
    <w:rsid w:val="00705CB9"/>
    <w:rsid w:val="00707AB5"/>
    <w:rsid w:val="0071062B"/>
    <w:rsid w:val="0071268A"/>
    <w:rsid w:val="00722971"/>
    <w:rsid w:val="00724BA9"/>
    <w:rsid w:val="00725780"/>
    <w:rsid w:val="00727CA1"/>
    <w:rsid w:val="0073003F"/>
    <w:rsid w:val="00731CB2"/>
    <w:rsid w:val="007326D2"/>
    <w:rsid w:val="00732EC0"/>
    <w:rsid w:val="00744BB5"/>
    <w:rsid w:val="00744BE8"/>
    <w:rsid w:val="0074585B"/>
    <w:rsid w:val="00752444"/>
    <w:rsid w:val="007562D3"/>
    <w:rsid w:val="00757D00"/>
    <w:rsid w:val="00761DCB"/>
    <w:rsid w:val="00762729"/>
    <w:rsid w:val="00765406"/>
    <w:rsid w:val="007672DB"/>
    <w:rsid w:val="00781219"/>
    <w:rsid w:val="00784367"/>
    <w:rsid w:val="00797FDC"/>
    <w:rsid w:val="007A24B3"/>
    <w:rsid w:val="007A345D"/>
    <w:rsid w:val="007C5A63"/>
    <w:rsid w:val="007D270C"/>
    <w:rsid w:val="007D4352"/>
    <w:rsid w:val="007E3E95"/>
    <w:rsid w:val="007E4897"/>
    <w:rsid w:val="007E5E2D"/>
    <w:rsid w:val="007E5ED8"/>
    <w:rsid w:val="007E67CF"/>
    <w:rsid w:val="007F0698"/>
    <w:rsid w:val="007F626B"/>
    <w:rsid w:val="007F75CA"/>
    <w:rsid w:val="008000C8"/>
    <w:rsid w:val="008002C0"/>
    <w:rsid w:val="00802222"/>
    <w:rsid w:val="008068B3"/>
    <w:rsid w:val="00813BA4"/>
    <w:rsid w:val="00817807"/>
    <w:rsid w:val="00821581"/>
    <w:rsid w:val="0082337C"/>
    <w:rsid w:val="00826D78"/>
    <w:rsid w:val="008346B2"/>
    <w:rsid w:val="0083754C"/>
    <w:rsid w:val="00842B1A"/>
    <w:rsid w:val="008435AB"/>
    <w:rsid w:val="008446EA"/>
    <w:rsid w:val="008454FA"/>
    <w:rsid w:val="008470A3"/>
    <w:rsid w:val="00847EF5"/>
    <w:rsid w:val="00856049"/>
    <w:rsid w:val="00856BDD"/>
    <w:rsid w:val="00857E24"/>
    <w:rsid w:val="008633C1"/>
    <w:rsid w:val="0086494D"/>
    <w:rsid w:val="00865D56"/>
    <w:rsid w:val="00865F5E"/>
    <w:rsid w:val="00870BF5"/>
    <w:rsid w:val="00870E77"/>
    <w:rsid w:val="00872A6A"/>
    <w:rsid w:val="00875247"/>
    <w:rsid w:val="00876A21"/>
    <w:rsid w:val="00880D1F"/>
    <w:rsid w:val="00882573"/>
    <w:rsid w:val="00884604"/>
    <w:rsid w:val="00885AE6"/>
    <w:rsid w:val="00886E48"/>
    <w:rsid w:val="00891BCB"/>
    <w:rsid w:val="008924B0"/>
    <w:rsid w:val="00892ED4"/>
    <w:rsid w:val="00893F56"/>
    <w:rsid w:val="00897B93"/>
    <w:rsid w:val="008A3A30"/>
    <w:rsid w:val="008C4967"/>
    <w:rsid w:val="008C5323"/>
    <w:rsid w:val="008C775F"/>
    <w:rsid w:val="008D394B"/>
    <w:rsid w:val="008D4869"/>
    <w:rsid w:val="008D4FE2"/>
    <w:rsid w:val="008E4B34"/>
    <w:rsid w:val="008E667B"/>
    <w:rsid w:val="008E66DD"/>
    <w:rsid w:val="008F0D4A"/>
    <w:rsid w:val="008F55AF"/>
    <w:rsid w:val="00900561"/>
    <w:rsid w:val="00900E95"/>
    <w:rsid w:val="00905C7C"/>
    <w:rsid w:val="0091068E"/>
    <w:rsid w:val="009212F8"/>
    <w:rsid w:val="00921F71"/>
    <w:rsid w:val="00926254"/>
    <w:rsid w:val="00927A60"/>
    <w:rsid w:val="00930825"/>
    <w:rsid w:val="00933625"/>
    <w:rsid w:val="00937723"/>
    <w:rsid w:val="00941986"/>
    <w:rsid w:val="00943F89"/>
    <w:rsid w:val="00944223"/>
    <w:rsid w:val="00944D35"/>
    <w:rsid w:val="00945228"/>
    <w:rsid w:val="00947939"/>
    <w:rsid w:val="0095057B"/>
    <w:rsid w:val="00955F7D"/>
    <w:rsid w:val="00956CD2"/>
    <w:rsid w:val="00957338"/>
    <w:rsid w:val="00962E2A"/>
    <w:rsid w:val="00972124"/>
    <w:rsid w:val="00974778"/>
    <w:rsid w:val="00990EAA"/>
    <w:rsid w:val="00991153"/>
    <w:rsid w:val="00993CEE"/>
    <w:rsid w:val="009976E5"/>
    <w:rsid w:val="009A0991"/>
    <w:rsid w:val="009A0FE4"/>
    <w:rsid w:val="009A6A3B"/>
    <w:rsid w:val="009B26EB"/>
    <w:rsid w:val="009B392D"/>
    <w:rsid w:val="009B49A6"/>
    <w:rsid w:val="009B6FB3"/>
    <w:rsid w:val="009C5076"/>
    <w:rsid w:val="009D04F6"/>
    <w:rsid w:val="009D24A9"/>
    <w:rsid w:val="009D488F"/>
    <w:rsid w:val="009E1E0B"/>
    <w:rsid w:val="009E1E3F"/>
    <w:rsid w:val="009E2A5A"/>
    <w:rsid w:val="009E69A2"/>
    <w:rsid w:val="009F0741"/>
    <w:rsid w:val="009F5B7D"/>
    <w:rsid w:val="009F6F51"/>
    <w:rsid w:val="00A104C2"/>
    <w:rsid w:val="00A10BBF"/>
    <w:rsid w:val="00A14054"/>
    <w:rsid w:val="00A148EB"/>
    <w:rsid w:val="00A1614F"/>
    <w:rsid w:val="00A21D0A"/>
    <w:rsid w:val="00A23E8D"/>
    <w:rsid w:val="00A30E8A"/>
    <w:rsid w:val="00A31BCF"/>
    <w:rsid w:val="00A352A8"/>
    <w:rsid w:val="00A43C7B"/>
    <w:rsid w:val="00A51187"/>
    <w:rsid w:val="00A54137"/>
    <w:rsid w:val="00A61750"/>
    <w:rsid w:val="00A61A54"/>
    <w:rsid w:val="00A64F6C"/>
    <w:rsid w:val="00A6539F"/>
    <w:rsid w:val="00A750EF"/>
    <w:rsid w:val="00A80E68"/>
    <w:rsid w:val="00A84A54"/>
    <w:rsid w:val="00A8775A"/>
    <w:rsid w:val="00A90BD9"/>
    <w:rsid w:val="00A90EA8"/>
    <w:rsid w:val="00A93C11"/>
    <w:rsid w:val="00A958A4"/>
    <w:rsid w:val="00A97AEC"/>
    <w:rsid w:val="00A97C44"/>
    <w:rsid w:val="00AA0E9F"/>
    <w:rsid w:val="00AA3B0C"/>
    <w:rsid w:val="00AA6BAD"/>
    <w:rsid w:val="00AA76E8"/>
    <w:rsid w:val="00AA7980"/>
    <w:rsid w:val="00AB02F3"/>
    <w:rsid w:val="00AB23FC"/>
    <w:rsid w:val="00AB60E8"/>
    <w:rsid w:val="00AB78A0"/>
    <w:rsid w:val="00AC65A7"/>
    <w:rsid w:val="00AC6B92"/>
    <w:rsid w:val="00AD3A93"/>
    <w:rsid w:val="00AD64F9"/>
    <w:rsid w:val="00AF0C08"/>
    <w:rsid w:val="00AF742B"/>
    <w:rsid w:val="00B012C3"/>
    <w:rsid w:val="00B051EC"/>
    <w:rsid w:val="00B076B6"/>
    <w:rsid w:val="00B07DEA"/>
    <w:rsid w:val="00B10184"/>
    <w:rsid w:val="00B137BD"/>
    <w:rsid w:val="00B157F2"/>
    <w:rsid w:val="00B241EF"/>
    <w:rsid w:val="00B24FCA"/>
    <w:rsid w:val="00B325BF"/>
    <w:rsid w:val="00B3340A"/>
    <w:rsid w:val="00B40AF7"/>
    <w:rsid w:val="00B42B84"/>
    <w:rsid w:val="00B431F2"/>
    <w:rsid w:val="00B44034"/>
    <w:rsid w:val="00B45449"/>
    <w:rsid w:val="00B45915"/>
    <w:rsid w:val="00B45A5F"/>
    <w:rsid w:val="00B45E09"/>
    <w:rsid w:val="00B46886"/>
    <w:rsid w:val="00B50F68"/>
    <w:rsid w:val="00B56793"/>
    <w:rsid w:val="00B67F86"/>
    <w:rsid w:val="00B714C3"/>
    <w:rsid w:val="00B730D6"/>
    <w:rsid w:val="00B74665"/>
    <w:rsid w:val="00B779F7"/>
    <w:rsid w:val="00B823AA"/>
    <w:rsid w:val="00B82D22"/>
    <w:rsid w:val="00B872FA"/>
    <w:rsid w:val="00BA19A8"/>
    <w:rsid w:val="00BA45DB"/>
    <w:rsid w:val="00BA5E0C"/>
    <w:rsid w:val="00BA6080"/>
    <w:rsid w:val="00BB05A1"/>
    <w:rsid w:val="00BB1A80"/>
    <w:rsid w:val="00BB6BAC"/>
    <w:rsid w:val="00BB7129"/>
    <w:rsid w:val="00BB7F2A"/>
    <w:rsid w:val="00BC2B0C"/>
    <w:rsid w:val="00BC3759"/>
    <w:rsid w:val="00BC4A21"/>
    <w:rsid w:val="00BC7792"/>
    <w:rsid w:val="00BD0653"/>
    <w:rsid w:val="00BD0B4D"/>
    <w:rsid w:val="00BD6422"/>
    <w:rsid w:val="00BD6476"/>
    <w:rsid w:val="00BD6DA7"/>
    <w:rsid w:val="00BE1097"/>
    <w:rsid w:val="00BE45DF"/>
    <w:rsid w:val="00BE5C11"/>
    <w:rsid w:val="00BE77F3"/>
    <w:rsid w:val="00BF0BAA"/>
    <w:rsid w:val="00BF2D6D"/>
    <w:rsid w:val="00BF2E18"/>
    <w:rsid w:val="00BF4184"/>
    <w:rsid w:val="00BF6199"/>
    <w:rsid w:val="00C0059E"/>
    <w:rsid w:val="00C012BA"/>
    <w:rsid w:val="00C020E3"/>
    <w:rsid w:val="00C049C2"/>
    <w:rsid w:val="00C0503A"/>
    <w:rsid w:val="00C05FB4"/>
    <w:rsid w:val="00C0601E"/>
    <w:rsid w:val="00C16038"/>
    <w:rsid w:val="00C20630"/>
    <w:rsid w:val="00C22C85"/>
    <w:rsid w:val="00C2422A"/>
    <w:rsid w:val="00C24A78"/>
    <w:rsid w:val="00C31D30"/>
    <w:rsid w:val="00C327BC"/>
    <w:rsid w:val="00C3306E"/>
    <w:rsid w:val="00C40955"/>
    <w:rsid w:val="00C4342B"/>
    <w:rsid w:val="00C46518"/>
    <w:rsid w:val="00C46646"/>
    <w:rsid w:val="00C52D63"/>
    <w:rsid w:val="00C54093"/>
    <w:rsid w:val="00C567DC"/>
    <w:rsid w:val="00C67D8D"/>
    <w:rsid w:val="00C711D8"/>
    <w:rsid w:val="00C7594A"/>
    <w:rsid w:val="00C75C4E"/>
    <w:rsid w:val="00C75E53"/>
    <w:rsid w:val="00C77BAF"/>
    <w:rsid w:val="00C8725F"/>
    <w:rsid w:val="00C90F6F"/>
    <w:rsid w:val="00C92E17"/>
    <w:rsid w:val="00C93C21"/>
    <w:rsid w:val="00C941B8"/>
    <w:rsid w:val="00C96E6E"/>
    <w:rsid w:val="00C96F1B"/>
    <w:rsid w:val="00CA46D4"/>
    <w:rsid w:val="00CA6B56"/>
    <w:rsid w:val="00CB0153"/>
    <w:rsid w:val="00CB154F"/>
    <w:rsid w:val="00CB1A9F"/>
    <w:rsid w:val="00CB1E23"/>
    <w:rsid w:val="00CB5BF2"/>
    <w:rsid w:val="00CC02A5"/>
    <w:rsid w:val="00CC0554"/>
    <w:rsid w:val="00CC08FD"/>
    <w:rsid w:val="00CC2BBB"/>
    <w:rsid w:val="00CC3F91"/>
    <w:rsid w:val="00CC4882"/>
    <w:rsid w:val="00CC56AE"/>
    <w:rsid w:val="00CD06E5"/>
    <w:rsid w:val="00CD0FD0"/>
    <w:rsid w:val="00CD49F5"/>
    <w:rsid w:val="00CD5D06"/>
    <w:rsid w:val="00CD6114"/>
    <w:rsid w:val="00CD6E39"/>
    <w:rsid w:val="00CD730F"/>
    <w:rsid w:val="00CE29CE"/>
    <w:rsid w:val="00CE2D55"/>
    <w:rsid w:val="00CE3AD5"/>
    <w:rsid w:val="00CE3EBF"/>
    <w:rsid w:val="00CE6497"/>
    <w:rsid w:val="00CF0435"/>
    <w:rsid w:val="00CF6E91"/>
    <w:rsid w:val="00CF7C05"/>
    <w:rsid w:val="00D01666"/>
    <w:rsid w:val="00D02823"/>
    <w:rsid w:val="00D03E06"/>
    <w:rsid w:val="00D2428E"/>
    <w:rsid w:val="00D34CE0"/>
    <w:rsid w:val="00D41AE4"/>
    <w:rsid w:val="00D43F37"/>
    <w:rsid w:val="00D45234"/>
    <w:rsid w:val="00D4688F"/>
    <w:rsid w:val="00D47D22"/>
    <w:rsid w:val="00D53468"/>
    <w:rsid w:val="00D66E14"/>
    <w:rsid w:val="00D73672"/>
    <w:rsid w:val="00D7436D"/>
    <w:rsid w:val="00D85B68"/>
    <w:rsid w:val="00D85CD1"/>
    <w:rsid w:val="00D877C8"/>
    <w:rsid w:val="00D90837"/>
    <w:rsid w:val="00D90C73"/>
    <w:rsid w:val="00D930D4"/>
    <w:rsid w:val="00DA2B5D"/>
    <w:rsid w:val="00DA2D83"/>
    <w:rsid w:val="00DA3883"/>
    <w:rsid w:val="00DA5FA0"/>
    <w:rsid w:val="00DC0D59"/>
    <w:rsid w:val="00DC66DB"/>
    <w:rsid w:val="00DD040D"/>
    <w:rsid w:val="00DD0761"/>
    <w:rsid w:val="00DD1625"/>
    <w:rsid w:val="00DD31E5"/>
    <w:rsid w:val="00DD3CFA"/>
    <w:rsid w:val="00DE03BD"/>
    <w:rsid w:val="00DE14CC"/>
    <w:rsid w:val="00DE1C2C"/>
    <w:rsid w:val="00DE1C51"/>
    <w:rsid w:val="00DE2D22"/>
    <w:rsid w:val="00DE399F"/>
    <w:rsid w:val="00DF08DC"/>
    <w:rsid w:val="00DF4CDA"/>
    <w:rsid w:val="00DF4CF7"/>
    <w:rsid w:val="00DF6B1F"/>
    <w:rsid w:val="00E048BE"/>
    <w:rsid w:val="00E12452"/>
    <w:rsid w:val="00E1349D"/>
    <w:rsid w:val="00E14AF2"/>
    <w:rsid w:val="00E15DE6"/>
    <w:rsid w:val="00E16472"/>
    <w:rsid w:val="00E242BD"/>
    <w:rsid w:val="00E247DE"/>
    <w:rsid w:val="00E2534B"/>
    <w:rsid w:val="00E31847"/>
    <w:rsid w:val="00E33C0A"/>
    <w:rsid w:val="00E348D5"/>
    <w:rsid w:val="00E3774C"/>
    <w:rsid w:val="00E37C0E"/>
    <w:rsid w:val="00E4782C"/>
    <w:rsid w:val="00E52C58"/>
    <w:rsid w:val="00E54A6C"/>
    <w:rsid w:val="00E6004D"/>
    <w:rsid w:val="00E608D0"/>
    <w:rsid w:val="00E61422"/>
    <w:rsid w:val="00E61CDE"/>
    <w:rsid w:val="00E6335B"/>
    <w:rsid w:val="00E63F7A"/>
    <w:rsid w:val="00E7410C"/>
    <w:rsid w:val="00E810CD"/>
    <w:rsid w:val="00E81978"/>
    <w:rsid w:val="00E90F87"/>
    <w:rsid w:val="00E9231A"/>
    <w:rsid w:val="00EA030C"/>
    <w:rsid w:val="00EA69D8"/>
    <w:rsid w:val="00EB172E"/>
    <w:rsid w:val="00EB3469"/>
    <w:rsid w:val="00EC4191"/>
    <w:rsid w:val="00EC6C66"/>
    <w:rsid w:val="00ED0CE5"/>
    <w:rsid w:val="00ED227A"/>
    <w:rsid w:val="00EE0A57"/>
    <w:rsid w:val="00EE308E"/>
    <w:rsid w:val="00EE38A7"/>
    <w:rsid w:val="00EE5A08"/>
    <w:rsid w:val="00EF4538"/>
    <w:rsid w:val="00EF65B5"/>
    <w:rsid w:val="00F009FA"/>
    <w:rsid w:val="00F0205D"/>
    <w:rsid w:val="00F04679"/>
    <w:rsid w:val="00F064C6"/>
    <w:rsid w:val="00F112FC"/>
    <w:rsid w:val="00F142D1"/>
    <w:rsid w:val="00F143E4"/>
    <w:rsid w:val="00F154B1"/>
    <w:rsid w:val="00F15AF5"/>
    <w:rsid w:val="00F17AEC"/>
    <w:rsid w:val="00F17B07"/>
    <w:rsid w:val="00F17DAA"/>
    <w:rsid w:val="00F17DB6"/>
    <w:rsid w:val="00F209D3"/>
    <w:rsid w:val="00F25A71"/>
    <w:rsid w:val="00F2682B"/>
    <w:rsid w:val="00F318EB"/>
    <w:rsid w:val="00F34548"/>
    <w:rsid w:val="00F36D32"/>
    <w:rsid w:val="00F379B7"/>
    <w:rsid w:val="00F4044B"/>
    <w:rsid w:val="00F40D59"/>
    <w:rsid w:val="00F43E9B"/>
    <w:rsid w:val="00F45A29"/>
    <w:rsid w:val="00F47DA4"/>
    <w:rsid w:val="00F525FA"/>
    <w:rsid w:val="00F547E3"/>
    <w:rsid w:val="00F57DBD"/>
    <w:rsid w:val="00F605A3"/>
    <w:rsid w:val="00F72BE3"/>
    <w:rsid w:val="00F73ADB"/>
    <w:rsid w:val="00F823D1"/>
    <w:rsid w:val="00F83D6E"/>
    <w:rsid w:val="00F849E8"/>
    <w:rsid w:val="00F85DCB"/>
    <w:rsid w:val="00F91104"/>
    <w:rsid w:val="00F92BB9"/>
    <w:rsid w:val="00FA2AC7"/>
    <w:rsid w:val="00FB0759"/>
    <w:rsid w:val="00FB5710"/>
    <w:rsid w:val="00FC060A"/>
    <w:rsid w:val="00FC3D85"/>
    <w:rsid w:val="00FC79F9"/>
    <w:rsid w:val="00FD1B1E"/>
    <w:rsid w:val="00FD1F26"/>
    <w:rsid w:val="00FE2DB1"/>
    <w:rsid w:val="00FE68D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B42A4"/>
  <w15:chartTrackingRefBased/>
  <w15:docId w15:val="{3F56A85E-9A31-4B4B-B3EA-6000553C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5C"/>
    <w:pPr>
      <w:spacing w:line="360" w:lineRule="auto"/>
    </w:pPr>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00745C"/>
    <w:pPr>
      <w:spacing w:line="360" w:lineRule="auto"/>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937723"/>
    <w:pPr>
      <w:tabs>
        <w:tab w:val="right" w:leader="dot" w:pos="9350"/>
      </w:tabs>
      <w:spacing w:after="100" w:line="240" w:lineRule="auto"/>
    </w:pPr>
  </w:style>
  <w:style w:type="paragraph" w:styleId="TOC2">
    <w:name w:val="toc 2"/>
    <w:basedOn w:val="Normal"/>
    <w:next w:val="Normal"/>
    <w:autoRedefine/>
    <w:uiPriority w:val="39"/>
    <w:unhideWhenUsed/>
    <w:rsid w:val="00F0205D"/>
    <w:pPr>
      <w:spacing w:after="100"/>
      <w:ind w:left="240"/>
    </w:pPr>
  </w:style>
  <w:style w:type="paragraph" w:styleId="TOC3">
    <w:name w:val="toc 3"/>
    <w:basedOn w:val="Normal"/>
    <w:next w:val="Normal"/>
    <w:autoRedefine/>
    <w:uiPriority w:val="39"/>
    <w:unhideWhenUsed/>
    <w:rsid w:val="00016474"/>
    <w:pPr>
      <w:tabs>
        <w:tab w:val="right" w:leader="dot" w:pos="9350"/>
      </w:tabs>
      <w:spacing w:after="100" w:line="240" w:lineRule="auto"/>
      <w:ind w:left="480"/>
    </w:pPr>
  </w:style>
  <w:style w:type="character" w:styleId="Hyperlink">
    <w:name w:val="Hyperlink"/>
    <w:basedOn w:val="DefaultParagraphFont"/>
    <w:uiPriority w:val="99"/>
    <w:unhideWhenUsed/>
    <w:rsid w:val="00F0205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308">
      <w:bodyDiv w:val="1"/>
      <w:marLeft w:val="0"/>
      <w:marRight w:val="0"/>
      <w:marTop w:val="0"/>
      <w:marBottom w:val="0"/>
      <w:divBdr>
        <w:top w:val="none" w:sz="0" w:space="0" w:color="auto"/>
        <w:left w:val="none" w:sz="0" w:space="0" w:color="auto"/>
        <w:bottom w:val="none" w:sz="0" w:space="0" w:color="auto"/>
        <w:right w:val="none" w:sz="0" w:space="0" w:color="auto"/>
      </w:divBdr>
    </w:div>
    <w:div w:id="10361869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004403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890376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227035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2451619">
      <w:bodyDiv w:val="1"/>
      <w:marLeft w:val="0"/>
      <w:marRight w:val="0"/>
      <w:marTop w:val="0"/>
      <w:marBottom w:val="0"/>
      <w:divBdr>
        <w:top w:val="none" w:sz="0" w:space="0" w:color="auto"/>
        <w:left w:val="none" w:sz="0" w:space="0" w:color="auto"/>
        <w:bottom w:val="none" w:sz="0" w:space="0" w:color="auto"/>
        <w:right w:val="none" w:sz="0" w:space="0" w:color="auto"/>
      </w:divBdr>
    </w:div>
    <w:div w:id="54506812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5899423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6780046">
      <w:bodyDiv w:val="1"/>
      <w:marLeft w:val="0"/>
      <w:marRight w:val="0"/>
      <w:marTop w:val="0"/>
      <w:marBottom w:val="0"/>
      <w:divBdr>
        <w:top w:val="none" w:sz="0" w:space="0" w:color="auto"/>
        <w:left w:val="none" w:sz="0" w:space="0" w:color="auto"/>
        <w:bottom w:val="none" w:sz="0" w:space="0" w:color="auto"/>
        <w:right w:val="none" w:sz="0" w:space="0" w:color="auto"/>
      </w:divBdr>
    </w:div>
    <w:div w:id="1055200024">
      <w:bodyDiv w:val="1"/>
      <w:marLeft w:val="0"/>
      <w:marRight w:val="0"/>
      <w:marTop w:val="0"/>
      <w:marBottom w:val="0"/>
      <w:divBdr>
        <w:top w:val="none" w:sz="0" w:space="0" w:color="auto"/>
        <w:left w:val="none" w:sz="0" w:space="0" w:color="auto"/>
        <w:bottom w:val="none" w:sz="0" w:space="0" w:color="auto"/>
        <w:right w:val="none" w:sz="0" w:space="0" w:color="auto"/>
      </w:divBdr>
    </w:div>
    <w:div w:id="1107045239">
      <w:bodyDiv w:val="1"/>
      <w:marLeft w:val="0"/>
      <w:marRight w:val="0"/>
      <w:marTop w:val="0"/>
      <w:marBottom w:val="0"/>
      <w:divBdr>
        <w:top w:val="none" w:sz="0" w:space="0" w:color="auto"/>
        <w:left w:val="none" w:sz="0" w:space="0" w:color="auto"/>
        <w:bottom w:val="none" w:sz="0" w:space="0" w:color="auto"/>
        <w:right w:val="none" w:sz="0" w:space="0" w:color="auto"/>
      </w:divBdr>
    </w:div>
    <w:div w:id="1146358980">
      <w:bodyDiv w:val="1"/>
      <w:marLeft w:val="0"/>
      <w:marRight w:val="0"/>
      <w:marTop w:val="0"/>
      <w:marBottom w:val="0"/>
      <w:divBdr>
        <w:top w:val="none" w:sz="0" w:space="0" w:color="auto"/>
        <w:left w:val="none" w:sz="0" w:space="0" w:color="auto"/>
        <w:bottom w:val="none" w:sz="0" w:space="0" w:color="auto"/>
        <w:right w:val="none" w:sz="0" w:space="0" w:color="auto"/>
      </w:divBdr>
    </w:div>
    <w:div w:id="117194466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924367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715985">
      <w:bodyDiv w:val="1"/>
      <w:marLeft w:val="0"/>
      <w:marRight w:val="0"/>
      <w:marTop w:val="0"/>
      <w:marBottom w:val="0"/>
      <w:divBdr>
        <w:top w:val="none" w:sz="0" w:space="0" w:color="auto"/>
        <w:left w:val="none" w:sz="0" w:space="0" w:color="auto"/>
        <w:bottom w:val="none" w:sz="0" w:space="0" w:color="auto"/>
        <w:right w:val="none" w:sz="0" w:space="0" w:color="auto"/>
      </w:divBdr>
    </w:div>
    <w:div w:id="1775587653">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7659589">
      <w:bodyDiv w:val="1"/>
      <w:marLeft w:val="0"/>
      <w:marRight w:val="0"/>
      <w:marTop w:val="0"/>
      <w:marBottom w:val="0"/>
      <w:divBdr>
        <w:top w:val="none" w:sz="0" w:space="0" w:color="auto"/>
        <w:left w:val="none" w:sz="0" w:space="0" w:color="auto"/>
        <w:bottom w:val="none" w:sz="0" w:space="0" w:color="auto"/>
        <w:right w:val="none" w:sz="0" w:space="0" w:color="auto"/>
      </w:divBdr>
    </w:div>
    <w:div w:id="2040741543">
      <w:bodyDiv w:val="1"/>
      <w:marLeft w:val="0"/>
      <w:marRight w:val="0"/>
      <w:marTop w:val="0"/>
      <w:marBottom w:val="0"/>
      <w:divBdr>
        <w:top w:val="none" w:sz="0" w:space="0" w:color="auto"/>
        <w:left w:val="none" w:sz="0" w:space="0" w:color="auto"/>
        <w:bottom w:val="none" w:sz="0" w:space="0" w:color="auto"/>
        <w:right w:val="none" w:sz="0" w:space="0" w:color="auto"/>
      </w:divBdr>
    </w:div>
    <w:div w:id="2063214493">
      <w:bodyDiv w:val="1"/>
      <w:marLeft w:val="0"/>
      <w:marRight w:val="0"/>
      <w:marTop w:val="0"/>
      <w:marBottom w:val="0"/>
      <w:divBdr>
        <w:top w:val="none" w:sz="0" w:space="0" w:color="auto"/>
        <w:left w:val="none" w:sz="0" w:space="0" w:color="auto"/>
        <w:bottom w:val="none" w:sz="0" w:space="0" w:color="auto"/>
        <w:right w:val="none" w:sz="0" w:space="0" w:color="auto"/>
      </w:divBdr>
    </w:div>
    <w:div w:id="208745725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417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umann\AppData\Roaming\Microsoft\Templates\APA%20style%20report%20(6th%20editio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640F3E-2A93-44A4-BC2B-E467CB59EBA2}" type="doc">
      <dgm:prSet loTypeId="urn:microsoft.com/office/officeart/2005/8/layout/hProcess4" loCatId="process" qsTypeId="urn:microsoft.com/office/officeart/2005/8/quickstyle/simple1" qsCatId="simple" csTypeId="urn:microsoft.com/office/officeart/2005/8/colors/colorful5" csCatId="colorful" phldr="1"/>
      <dgm:spPr/>
      <dgm:t>
        <a:bodyPr/>
        <a:lstStyle/>
        <a:p>
          <a:endParaRPr lang="en-US"/>
        </a:p>
      </dgm:t>
    </dgm:pt>
    <dgm:pt modelId="{4E095386-6E4C-4809-88E9-15FD2E37934E}">
      <dgm:prSet phldrT="[Text]"/>
      <dgm:spPr/>
      <dgm:t>
        <a:bodyPr/>
        <a:lstStyle/>
        <a:p>
          <a:r>
            <a:rPr lang="en-US"/>
            <a:t>Pre-Planning</a:t>
          </a:r>
        </a:p>
      </dgm:t>
    </dgm:pt>
    <dgm:pt modelId="{C71AD7BF-E32D-4003-B140-3E5980FBD3E6}" type="parTrans" cxnId="{901066C2-14D2-4738-9EAE-F6049C8AA17C}">
      <dgm:prSet/>
      <dgm:spPr/>
      <dgm:t>
        <a:bodyPr/>
        <a:lstStyle/>
        <a:p>
          <a:endParaRPr lang="en-US"/>
        </a:p>
      </dgm:t>
    </dgm:pt>
    <dgm:pt modelId="{A51319CA-01EE-4ACA-BAD9-5C97BC81A912}" type="sibTrans" cxnId="{901066C2-14D2-4738-9EAE-F6049C8AA17C}">
      <dgm:prSet/>
      <dgm:spPr/>
      <dgm:t>
        <a:bodyPr/>
        <a:lstStyle/>
        <a:p>
          <a:endParaRPr lang="en-US"/>
        </a:p>
      </dgm:t>
    </dgm:pt>
    <dgm:pt modelId="{F76E77B3-C5A9-43E0-BCE4-968667F1CAAD}">
      <dgm:prSet phldrT="[Text]"/>
      <dgm:spPr/>
      <dgm:t>
        <a:bodyPr/>
        <a:lstStyle/>
        <a:p>
          <a:r>
            <a:rPr lang="en-US"/>
            <a:t>Cloud Familiarization</a:t>
          </a:r>
        </a:p>
      </dgm:t>
    </dgm:pt>
    <dgm:pt modelId="{F2277677-EA5F-4687-95DB-260E9CE22258}" type="parTrans" cxnId="{C1851687-B2E3-4A5E-9E71-1A1D7C3E760E}">
      <dgm:prSet/>
      <dgm:spPr/>
      <dgm:t>
        <a:bodyPr/>
        <a:lstStyle/>
        <a:p>
          <a:endParaRPr lang="en-US"/>
        </a:p>
      </dgm:t>
    </dgm:pt>
    <dgm:pt modelId="{1DA275AD-78CB-4788-A313-8732FA352E7E}" type="sibTrans" cxnId="{C1851687-B2E3-4A5E-9E71-1A1D7C3E760E}">
      <dgm:prSet/>
      <dgm:spPr/>
      <dgm:t>
        <a:bodyPr/>
        <a:lstStyle/>
        <a:p>
          <a:endParaRPr lang="en-US"/>
        </a:p>
      </dgm:t>
    </dgm:pt>
    <dgm:pt modelId="{E9F4C36D-5963-4AE3-8C4F-FE3C4C66A29E}">
      <dgm:prSet phldrT="[Text]"/>
      <dgm:spPr/>
      <dgm:t>
        <a:bodyPr/>
        <a:lstStyle/>
        <a:p>
          <a:r>
            <a:rPr lang="en-US"/>
            <a:t>Business Process Review</a:t>
          </a:r>
        </a:p>
      </dgm:t>
    </dgm:pt>
    <dgm:pt modelId="{4454AFBA-0090-4030-B2CF-844DC35CA7AF}" type="parTrans" cxnId="{3E625F89-C942-498E-8610-FE2CAD9E3BFA}">
      <dgm:prSet/>
      <dgm:spPr/>
      <dgm:t>
        <a:bodyPr/>
        <a:lstStyle/>
        <a:p>
          <a:endParaRPr lang="en-US"/>
        </a:p>
      </dgm:t>
    </dgm:pt>
    <dgm:pt modelId="{66D830C5-11E9-4211-9F91-168A9C1F16D1}" type="sibTrans" cxnId="{3E625F89-C942-498E-8610-FE2CAD9E3BFA}">
      <dgm:prSet/>
      <dgm:spPr/>
      <dgm:t>
        <a:bodyPr/>
        <a:lstStyle/>
        <a:p>
          <a:endParaRPr lang="en-US"/>
        </a:p>
      </dgm:t>
    </dgm:pt>
    <dgm:pt modelId="{D8E35C78-3686-44B5-9588-FE308D596CFA}">
      <dgm:prSet phldrT="[Text]"/>
      <dgm:spPr/>
      <dgm:t>
        <a:bodyPr/>
        <a:lstStyle/>
        <a:p>
          <a:r>
            <a:rPr lang="en-US"/>
            <a:t>Planning</a:t>
          </a:r>
        </a:p>
      </dgm:t>
    </dgm:pt>
    <dgm:pt modelId="{D8E46505-5049-4CC9-A843-9D8CC40EB96E}" type="parTrans" cxnId="{B32ED523-0352-4A6F-A748-D23A78F4A378}">
      <dgm:prSet/>
      <dgm:spPr/>
      <dgm:t>
        <a:bodyPr/>
        <a:lstStyle/>
        <a:p>
          <a:endParaRPr lang="en-US"/>
        </a:p>
      </dgm:t>
    </dgm:pt>
    <dgm:pt modelId="{385C120F-2ACD-4583-A196-F55ED8FB2047}" type="sibTrans" cxnId="{B32ED523-0352-4A6F-A748-D23A78F4A378}">
      <dgm:prSet/>
      <dgm:spPr/>
      <dgm:t>
        <a:bodyPr/>
        <a:lstStyle/>
        <a:p>
          <a:endParaRPr lang="en-US"/>
        </a:p>
      </dgm:t>
    </dgm:pt>
    <dgm:pt modelId="{BCC2F59F-3B6D-4660-A095-BCE3DBD84D30}">
      <dgm:prSet phldrT="[Text]"/>
      <dgm:spPr/>
      <dgm:t>
        <a:bodyPr/>
        <a:lstStyle/>
        <a:p>
          <a:r>
            <a:rPr lang="en-US"/>
            <a:t>Functional Review</a:t>
          </a:r>
        </a:p>
      </dgm:t>
    </dgm:pt>
    <dgm:pt modelId="{FF8BEB98-D1CF-46F5-B498-353ABEF7DB49}" type="parTrans" cxnId="{6C6E9541-A792-4040-8E5F-AE0E6ABF009B}">
      <dgm:prSet/>
      <dgm:spPr/>
      <dgm:t>
        <a:bodyPr/>
        <a:lstStyle/>
        <a:p>
          <a:endParaRPr lang="en-US"/>
        </a:p>
      </dgm:t>
    </dgm:pt>
    <dgm:pt modelId="{E9FC3224-B935-4E38-A6C1-FA8E03A26205}" type="sibTrans" cxnId="{6C6E9541-A792-4040-8E5F-AE0E6ABF009B}">
      <dgm:prSet/>
      <dgm:spPr/>
      <dgm:t>
        <a:bodyPr/>
        <a:lstStyle/>
        <a:p>
          <a:endParaRPr lang="en-US"/>
        </a:p>
      </dgm:t>
    </dgm:pt>
    <dgm:pt modelId="{DCBA89C4-7E57-41AD-BDAD-EFFA0C8E0A84}">
      <dgm:prSet phldrT="[Text]"/>
      <dgm:spPr/>
      <dgm:t>
        <a:bodyPr/>
        <a:lstStyle/>
        <a:p>
          <a:r>
            <a:rPr lang="en-US"/>
            <a:t>Strategy Selection</a:t>
          </a:r>
        </a:p>
      </dgm:t>
    </dgm:pt>
    <dgm:pt modelId="{C4747ED5-940A-49B6-A4E4-B63963A25C10}" type="parTrans" cxnId="{C260FD9E-A269-4597-9DB0-BD48FE352272}">
      <dgm:prSet/>
      <dgm:spPr/>
      <dgm:t>
        <a:bodyPr/>
        <a:lstStyle/>
        <a:p>
          <a:endParaRPr lang="en-US"/>
        </a:p>
      </dgm:t>
    </dgm:pt>
    <dgm:pt modelId="{2DA8183B-B400-4075-B053-77330DD40054}" type="sibTrans" cxnId="{C260FD9E-A269-4597-9DB0-BD48FE352272}">
      <dgm:prSet/>
      <dgm:spPr/>
      <dgm:t>
        <a:bodyPr/>
        <a:lstStyle/>
        <a:p>
          <a:endParaRPr lang="en-US"/>
        </a:p>
      </dgm:t>
    </dgm:pt>
    <dgm:pt modelId="{C232D8FB-BB16-49C2-B804-604D7FAE46B2}">
      <dgm:prSet phldrT="[Text]"/>
      <dgm:spPr/>
      <dgm:t>
        <a:bodyPr/>
        <a:lstStyle/>
        <a:p>
          <a:r>
            <a:rPr lang="en-US"/>
            <a:t>Migration</a:t>
          </a:r>
        </a:p>
      </dgm:t>
    </dgm:pt>
    <dgm:pt modelId="{515A40D3-FAB7-4D08-AF52-C7DA02568389}" type="parTrans" cxnId="{F458C898-71CA-4DB0-AE73-D9685FD095F4}">
      <dgm:prSet/>
      <dgm:spPr/>
      <dgm:t>
        <a:bodyPr/>
        <a:lstStyle/>
        <a:p>
          <a:endParaRPr lang="en-US"/>
        </a:p>
      </dgm:t>
    </dgm:pt>
    <dgm:pt modelId="{524FF0D1-2FE2-4B53-B335-45BD395EAB03}" type="sibTrans" cxnId="{F458C898-71CA-4DB0-AE73-D9685FD095F4}">
      <dgm:prSet/>
      <dgm:spPr/>
      <dgm:t>
        <a:bodyPr/>
        <a:lstStyle/>
        <a:p>
          <a:endParaRPr lang="en-US"/>
        </a:p>
      </dgm:t>
    </dgm:pt>
    <dgm:pt modelId="{93AA9D09-C0D8-4868-AA41-98A3CE0689A6}">
      <dgm:prSet phldrT="[Text]"/>
      <dgm:spPr/>
      <dgm:t>
        <a:bodyPr/>
        <a:lstStyle/>
        <a:p>
          <a:r>
            <a:rPr lang="en-US"/>
            <a:t>Service Management (Time/Cost)</a:t>
          </a:r>
        </a:p>
      </dgm:t>
    </dgm:pt>
    <dgm:pt modelId="{D92AB332-CE7D-4CCA-B5C2-81DD5D2E0D09}" type="parTrans" cxnId="{40725F3A-D02B-4607-BFBF-DCD8A27849FA}">
      <dgm:prSet/>
      <dgm:spPr/>
      <dgm:t>
        <a:bodyPr/>
        <a:lstStyle/>
        <a:p>
          <a:endParaRPr lang="en-US"/>
        </a:p>
      </dgm:t>
    </dgm:pt>
    <dgm:pt modelId="{14B55E7F-1082-4296-9DBB-B294961A8AD0}" type="sibTrans" cxnId="{40725F3A-D02B-4607-BFBF-DCD8A27849FA}">
      <dgm:prSet/>
      <dgm:spPr/>
      <dgm:t>
        <a:bodyPr/>
        <a:lstStyle/>
        <a:p>
          <a:endParaRPr lang="en-US"/>
        </a:p>
      </dgm:t>
    </dgm:pt>
    <dgm:pt modelId="{263520AD-4879-4B5C-A17A-C4FC23C9BC6A}">
      <dgm:prSet phldrT="[Text]"/>
      <dgm:spPr/>
      <dgm:t>
        <a:bodyPr/>
        <a:lstStyle/>
        <a:p>
          <a:r>
            <a:rPr lang="en-US"/>
            <a:t>Testing (IT/Business Unit)</a:t>
          </a:r>
        </a:p>
      </dgm:t>
    </dgm:pt>
    <dgm:pt modelId="{D0EE8D50-3DD7-4E38-9DCE-A7B28D26339E}" type="parTrans" cxnId="{0E72A646-B991-4A99-8E30-8194CB81DAA4}">
      <dgm:prSet/>
      <dgm:spPr/>
      <dgm:t>
        <a:bodyPr/>
        <a:lstStyle/>
        <a:p>
          <a:endParaRPr lang="en-US"/>
        </a:p>
      </dgm:t>
    </dgm:pt>
    <dgm:pt modelId="{468B0618-43BE-4746-A021-F09CF4C5D89D}" type="sibTrans" cxnId="{0E72A646-B991-4A99-8E30-8194CB81DAA4}">
      <dgm:prSet/>
      <dgm:spPr/>
      <dgm:t>
        <a:bodyPr/>
        <a:lstStyle/>
        <a:p>
          <a:endParaRPr lang="en-US"/>
        </a:p>
      </dgm:t>
    </dgm:pt>
    <dgm:pt modelId="{A6529935-CDF4-421B-AA14-7727DF163853}">
      <dgm:prSet phldrT="[Text]"/>
      <dgm:spPr/>
      <dgm:t>
        <a:bodyPr/>
        <a:lstStyle/>
        <a:p>
          <a:r>
            <a:rPr lang="en-US"/>
            <a:t>Environmental Assessment</a:t>
          </a:r>
        </a:p>
      </dgm:t>
    </dgm:pt>
    <dgm:pt modelId="{D2CCF3B6-440A-46A8-A3C8-29A8B0D9F319}" type="parTrans" cxnId="{128D6073-1F9A-449A-A127-092B8FB3704E}">
      <dgm:prSet/>
      <dgm:spPr/>
      <dgm:t>
        <a:bodyPr/>
        <a:lstStyle/>
        <a:p>
          <a:endParaRPr lang="en-US"/>
        </a:p>
      </dgm:t>
    </dgm:pt>
    <dgm:pt modelId="{1A14DF26-1047-4FAC-A886-7FB3F6CCD066}" type="sibTrans" cxnId="{128D6073-1F9A-449A-A127-092B8FB3704E}">
      <dgm:prSet/>
      <dgm:spPr/>
      <dgm:t>
        <a:bodyPr/>
        <a:lstStyle/>
        <a:p>
          <a:endParaRPr lang="en-US"/>
        </a:p>
      </dgm:t>
    </dgm:pt>
    <dgm:pt modelId="{C2FED912-DC1C-492B-B91D-71ED41017ADA}">
      <dgm:prSet phldrT="[Text]"/>
      <dgm:spPr/>
      <dgm:t>
        <a:bodyPr/>
        <a:lstStyle/>
        <a:p>
          <a:r>
            <a:rPr lang="en-US"/>
            <a:t>Data Migration</a:t>
          </a:r>
        </a:p>
      </dgm:t>
    </dgm:pt>
    <dgm:pt modelId="{3833F4BC-3307-4B6E-A907-16BA32F43D5A}" type="parTrans" cxnId="{70A2EFB7-0E3D-4F39-ABC5-B7D4E2A63457}">
      <dgm:prSet/>
      <dgm:spPr/>
      <dgm:t>
        <a:bodyPr/>
        <a:lstStyle/>
        <a:p>
          <a:endParaRPr lang="en-US"/>
        </a:p>
      </dgm:t>
    </dgm:pt>
    <dgm:pt modelId="{5054C83C-29E4-4A67-92AE-EA041597DD57}" type="sibTrans" cxnId="{70A2EFB7-0E3D-4F39-ABC5-B7D4E2A63457}">
      <dgm:prSet/>
      <dgm:spPr/>
      <dgm:t>
        <a:bodyPr/>
        <a:lstStyle/>
        <a:p>
          <a:endParaRPr lang="en-US"/>
        </a:p>
      </dgm:t>
    </dgm:pt>
    <dgm:pt modelId="{DC92B4FC-FB45-4EAC-BA3D-562649331805}">
      <dgm:prSet/>
      <dgm:spPr/>
      <dgm:t>
        <a:bodyPr/>
        <a:lstStyle/>
        <a:p>
          <a:r>
            <a:rPr lang="en-US"/>
            <a:t>Cutover</a:t>
          </a:r>
        </a:p>
      </dgm:t>
    </dgm:pt>
    <dgm:pt modelId="{E417A304-3563-4784-8116-5F15F896FCFF}" type="parTrans" cxnId="{D35125B3-9C63-4CA1-A09D-0FA2BF209F0F}">
      <dgm:prSet/>
      <dgm:spPr/>
      <dgm:t>
        <a:bodyPr/>
        <a:lstStyle/>
        <a:p>
          <a:endParaRPr lang="en-US"/>
        </a:p>
      </dgm:t>
    </dgm:pt>
    <dgm:pt modelId="{8AD67F8E-A63A-4E25-B349-BF65E8787EF8}" type="sibTrans" cxnId="{D35125B3-9C63-4CA1-A09D-0FA2BF209F0F}">
      <dgm:prSet/>
      <dgm:spPr/>
      <dgm:t>
        <a:bodyPr/>
        <a:lstStyle/>
        <a:p>
          <a:endParaRPr lang="en-US"/>
        </a:p>
      </dgm:t>
    </dgm:pt>
    <dgm:pt modelId="{B7AF5850-15A8-4CDD-ACAB-AE5F73FC1249}">
      <dgm:prSet/>
      <dgm:spPr/>
      <dgm:t>
        <a:bodyPr/>
        <a:lstStyle/>
        <a:p>
          <a:r>
            <a:rPr lang="en-US"/>
            <a:t>Final Data Synchronization</a:t>
          </a:r>
        </a:p>
      </dgm:t>
    </dgm:pt>
    <dgm:pt modelId="{8A0CDA61-6856-4AC0-A15F-E05956E2ECC0}" type="parTrans" cxnId="{8C67A277-A0C7-421E-A30B-11A78FD43AE6}">
      <dgm:prSet/>
      <dgm:spPr/>
      <dgm:t>
        <a:bodyPr/>
        <a:lstStyle/>
        <a:p>
          <a:endParaRPr lang="en-US"/>
        </a:p>
      </dgm:t>
    </dgm:pt>
    <dgm:pt modelId="{A1D44AC1-63E6-49E9-B650-673D00518B36}" type="sibTrans" cxnId="{8C67A277-A0C7-421E-A30B-11A78FD43AE6}">
      <dgm:prSet/>
      <dgm:spPr/>
      <dgm:t>
        <a:bodyPr/>
        <a:lstStyle/>
        <a:p>
          <a:endParaRPr lang="en-US"/>
        </a:p>
      </dgm:t>
    </dgm:pt>
    <dgm:pt modelId="{8268102E-C165-4A91-BE34-F1271B426878}">
      <dgm:prSet/>
      <dgm:spPr/>
      <dgm:t>
        <a:bodyPr/>
        <a:lstStyle/>
        <a:p>
          <a:r>
            <a:rPr lang="en-US"/>
            <a:t>Business Unit Final Testing</a:t>
          </a:r>
        </a:p>
      </dgm:t>
    </dgm:pt>
    <dgm:pt modelId="{69DC915C-9C5B-4B5D-BE6A-C242F67A11F6}" type="parTrans" cxnId="{96BA4921-C65B-4879-8B68-D3B4119320B9}">
      <dgm:prSet/>
      <dgm:spPr/>
      <dgm:t>
        <a:bodyPr/>
        <a:lstStyle/>
        <a:p>
          <a:endParaRPr lang="en-US"/>
        </a:p>
      </dgm:t>
    </dgm:pt>
    <dgm:pt modelId="{B92AAA5C-8C53-4031-9805-ACC3B67BA45D}" type="sibTrans" cxnId="{96BA4921-C65B-4879-8B68-D3B4119320B9}">
      <dgm:prSet/>
      <dgm:spPr/>
      <dgm:t>
        <a:bodyPr/>
        <a:lstStyle/>
        <a:p>
          <a:endParaRPr lang="en-US"/>
        </a:p>
      </dgm:t>
    </dgm:pt>
    <dgm:pt modelId="{0FE6FA2B-1031-4537-9F29-A41EFFF8858E}">
      <dgm:prSet/>
      <dgm:spPr/>
      <dgm:t>
        <a:bodyPr/>
        <a:lstStyle/>
        <a:p>
          <a:r>
            <a:rPr lang="en-US"/>
            <a:t>Production Phase-in</a:t>
          </a:r>
        </a:p>
      </dgm:t>
    </dgm:pt>
    <dgm:pt modelId="{5541C7A1-7476-4C14-8762-178F9D438A18}" type="parTrans" cxnId="{C44E4BC9-11CB-4386-9AB6-AF25B149DA58}">
      <dgm:prSet/>
      <dgm:spPr/>
      <dgm:t>
        <a:bodyPr/>
        <a:lstStyle/>
        <a:p>
          <a:endParaRPr lang="en-US"/>
        </a:p>
      </dgm:t>
    </dgm:pt>
    <dgm:pt modelId="{97D78277-62A9-4A57-A573-1AC065DD136E}" type="sibTrans" cxnId="{C44E4BC9-11CB-4386-9AB6-AF25B149DA58}">
      <dgm:prSet/>
      <dgm:spPr/>
      <dgm:t>
        <a:bodyPr/>
        <a:lstStyle/>
        <a:p>
          <a:endParaRPr lang="en-US"/>
        </a:p>
      </dgm:t>
    </dgm:pt>
    <dgm:pt modelId="{02CA7D23-C9A6-466E-9EEB-3BB3C87893F8}">
      <dgm:prSet/>
      <dgm:spPr/>
      <dgm:t>
        <a:bodyPr/>
        <a:lstStyle/>
        <a:p>
          <a:r>
            <a:rPr lang="en-US"/>
            <a:t>Business Process Cutover</a:t>
          </a:r>
        </a:p>
      </dgm:t>
    </dgm:pt>
    <dgm:pt modelId="{10ECF7F7-4876-4F5C-A572-7A3150843A0F}" type="parTrans" cxnId="{70B617CF-BC84-4966-80A7-8638C9F3E915}">
      <dgm:prSet/>
      <dgm:spPr/>
      <dgm:t>
        <a:bodyPr/>
        <a:lstStyle/>
        <a:p>
          <a:endParaRPr lang="en-US"/>
        </a:p>
      </dgm:t>
    </dgm:pt>
    <dgm:pt modelId="{2FF1FC27-B7B6-4E39-81E9-A92B1077B20C}" type="sibTrans" cxnId="{70B617CF-BC84-4966-80A7-8638C9F3E915}">
      <dgm:prSet/>
      <dgm:spPr/>
      <dgm:t>
        <a:bodyPr/>
        <a:lstStyle/>
        <a:p>
          <a:endParaRPr lang="en-US"/>
        </a:p>
      </dgm:t>
    </dgm:pt>
    <dgm:pt modelId="{17EF00BC-722E-4DD8-B486-62B364F24897}">
      <dgm:prSet/>
      <dgm:spPr/>
      <dgm:t>
        <a:bodyPr/>
        <a:lstStyle/>
        <a:p>
          <a:endParaRPr lang="en-US"/>
        </a:p>
      </dgm:t>
    </dgm:pt>
    <dgm:pt modelId="{2A821352-5ACA-43EF-AFC7-B9140B85256B}" type="parTrans" cxnId="{AAB4708B-B5AB-402A-8A7A-BA83F3CFBB0A}">
      <dgm:prSet/>
      <dgm:spPr/>
      <dgm:t>
        <a:bodyPr/>
        <a:lstStyle/>
        <a:p>
          <a:endParaRPr lang="en-US"/>
        </a:p>
      </dgm:t>
    </dgm:pt>
    <dgm:pt modelId="{0C3A9334-BA14-4F93-9BA7-5BFA98B16121}" type="sibTrans" cxnId="{AAB4708B-B5AB-402A-8A7A-BA83F3CFBB0A}">
      <dgm:prSet/>
      <dgm:spPr/>
      <dgm:t>
        <a:bodyPr/>
        <a:lstStyle/>
        <a:p>
          <a:endParaRPr lang="en-US"/>
        </a:p>
      </dgm:t>
    </dgm:pt>
    <dgm:pt modelId="{98753D73-88F8-4C54-AAE2-29A7A1B0FFFB}">
      <dgm:prSet phldrT="[Text]"/>
      <dgm:spPr/>
      <dgm:t>
        <a:bodyPr/>
        <a:lstStyle/>
        <a:p>
          <a:r>
            <a:rPr lang="en-US"/>
            <a:t>Business Case Development and Approval</a:t>
          </a:r>
        </a:p>
      </dgm:t>
    </dgm:pt>
    <dgm:pt modelId="{892579E1-3380-463C-9275-33F1893AACFB}" type="parTrans" cxnId="{CF7FD617-0814-4391-B297-A206BA23DF68}">
      <dgm:prSet/>
      <dgm:spPr/>
    </dgm:pt>
    <dgm:pt modelId="{3DDB4B8C-3654-4535-AF71-7FA2803B3DB6}" type="sibTrans" cxnId="{CF7FD617-0814-4391-B297-A206BA23DF68}">
      <dgm:prSet/>
      <dgm:spPr/>
    </dgm:pt>
    <dgm:pt modelId="{0551D897-D749-4A2F-86BA-106420B401D2}" type="pres">
      <dgm:prSet presAssocID="{1D640F3E-2A93-44A4-BC2B-E467CB59EBA2}" presName="Name0" presStyleCnt="0">
        <dgm:presLayoutVars>
          <dgm:dir/>
          <dgm:animLvl val="lvl"/>
          <dgm:resizeHandles val="exact"/>
        </dgm:presLayoutVars>
      </dgm:prSet>
      <dgm:spPr/>
    </dgm:pt>
    <dgm:pt modelId="{5D4EDFA9-A1E1-4E2A-8ADE-8D8629A49702}" type="pres">
      <dgm:prSet presAssocID="{1D640F3E-2A93-44A4-BC2B-E467CB59EBA2}" presName="tSp" presStyleCnt="0"/>
      <dgm:spPr/>
    </dgm:pt>
    <dgm:pt modelId="{258BB954-72F7-45E5-AB39-EAA4320C9813}" type="pres">
      <dgm:prSet presAssocID="{1D640F3E-2A93-44A4-BC2B-E467CB59EBA2}" presName="bSp" presStyleCnt="0"/>
      <dgm:spPr/>
    </dgm:pt>
    <dgm:pt modelId="{1FECF290-A5CE-4B27-8176-A56D5FA13709}" type="pres">
      <dgm:prSet presAssocID="{1D640F3E-2A93-44A4-BC2B-E467CB59EBA2}" presName="process" presStyleCnt="0"/>
      <dgm:spPr/>
    </dgm:pt>
    <dgm:pt modelId="{AD97702D-24A3-49B5-BEBD-B7BB0A0FEC88}" type="pres">
      <dgm:prSet presAssocID="{4E095386-6E4C-4809-88E9-15FD2E37934E}" presName="composite1" presStyleCnt="0"/>
      <dgm:spPr/>
    </dgm:pt>
    <dgm:pt modelId="{6DAAFC3B-B043-4337-B930-300E53915CC0}" type="pres">
      <dgm:prSet presAssocID="{4E095386-6E4C-4809-88E9-15FD2E37934E}" presName="dummyNode1" presStyleLbl="node1" presStyleIdx="0" presStyleCnt="4"/>
      <dgm:spPr/>
    </dgm:pt>
    <dgm:pt modelId="{EABBCACD-92F6-4EA1-94D2-7DDFF3065F46}" type="pres">
      <dgm:prSet presAssocID="{4E095386-6E4C-4809-88E9-15FD2E37934E}" presName="childNode1" presStyleLbl="bgAcc1" presStyleIdx="0" presStyleCnt="4">
        <dgm:presLayoutVars>
          <dgm:bulletEnabled val="1"/>
        </dgm:presLayoutVars>
      </dgm:prSet>
      <dgm:spPr/>
    </dgm:pt>
    <dgm:pt modelId="{29D210A6-9E12-4535-98E4-B7F7F4B7572F}" type="pres">
      <dgm:prSet presAssocID="{4E095386-6E4C-4809-88E9-15FD2E37934E}" presName="childNode1tx" presStyleLbl="bgAcc1" presStyleIdx="0" presStyleCnt="4">
        <dgm:presLayoutVars>
          <dgm:bulletEnabled val="1"/>
        </dgm:presLayoutVars>
      </dgm:prSet>
      <dgm:spPr/>
    </dgm:pt>
    <dgm:pt modelId="{86F2C2FE-7394-4577-A1DA-AD6BD688F437}" type="pres">
      <dgm:prSet presAssocID="{4E095386-6E4C-4809-88E9-15FD2E37934E}" presName="parentNode1" presStyleLbl="node1" presStyleIdx="0" presStyleCnt="4">
        <dgm:presLayoutVars>
          <dgm:chMax val="1"/>
          <dgm:bulletEnabled val="1"/>
        </dgm:presLayoutVars>
      </dgm:prSet>
      <dgm:spPr/>
    </dgm:pt>
    <dgm:pt modelId="{71614ABE-DC95-48B9-937A-8A00465782C0}" type="pres">
      <dgm:prSet presAssocID="{4E095386-6E4C-4809-88E9-15FD2E37934E}" presName="connSite1" presStyleCnt="0"/>
      <dgm:spPr/>
    </dgm:pt>
    <dgm:pt modelId="{54047BDF-86C1-4CB5-8094-5CEC23D0FEE6}" type="pres">
      <dgm:prSet presAssocID="{A51319CA-01EE-4ACA-BAD9-5C97BC81A912}" presName="Name9" presStyleLbl="sibTrans2D1" presStyleIdx="0" presStyleCnt="3"/>
      <dgm:spPr/>
    </dgm:pt>
    <dgm:pt modelId="{7543B6B3-F697-4496-818C-C75882675EDA}" type="pres">
      <dgm:prSet presAssocID="{D8E35C78-3686-44B5-9588-FE308D596CFA}" presName="composite2" presStyleCnt="0"/>
      <dgm:spPr/>
    </dgm:pt>
    <dgm:pt modelId="{669FCF73-1E3F-4007-85F9-6436D43CBB13}" type="pres">
      <dgm:prSet presAssocID="{D8E35C78-3686-44B5-9588-FE308D596CFA}" presName="dummyNode2" presStyleLbl="node1" presStyleIdx="0" presStyleCnt="4"/>
      <dgm:spPr/>
    </dgm:pt>
    <dgm:pt modelId="{B1723C84-C607-415C-8110-2A12910A81B6}" type="pres">
      <dgm:prSet presAssocID="{D8E35C78-3686-44B5-9588-FE308D596CFA}" presName="childNode2" presStyleLbl="bgAcc1" presStyleIdx="1" presStyleCnt="4">
        <dgm:presLayoutVars>
          <dgm:bulletEnabled val="1"/>
        </dgm:presLayoutVars>
      </dgm:prSet>
      <dgm:spPr/>
    </dgm:pt>
    <dgm:pt modelId="{AA8A27B9-B6BA-406D-AB9D-67756B259528}" type="pres">
      <dgm:prSet presAssocID="{D8E35C78-3686-44B5-9588-FE308D596CFA}" presName="childNode2tx" presStyleLbl="bgAcc1" presStyleIdx="1" presStyleCnt="4">
        <dgm:presLayoutVars>
          <dgm:bulletEnabled val="1"/>
        </dgm:presLayoutVars>
      </dgm:prSet>
      <dgm:spPr/>
    </dgm:pt>
    <dgm:pt modelId="{773A8144-1C0D-47C5-9B57-B22B45EC4E62}" type="pres">
      <dgm:prSet presAssocID="{D8E35C78-3686-44B5-9588-FE308D596CFA}" presName="parentNode2" presStyleLbl="node1" presStyleIdx="1" presStyleCnt="4">
        <dgm:presLayoutVars>
          <dgm:chMax val="0"/>
          <dgm:bulletEnabled val="1"/>
        </dgm:presLayoutVars>
      </dgm:prSet>
      <dgm:spPr/>
    </dgm:pt>
    <dgm:pt modelId="{0CD7C78E-8C55-4D6B-9E19-5455E37B9202}" type="pres">
      <dgm:prSet presAssocID="{D8E35C78-3686-44B5-9588-FE308D596CFA}" presName="connSite2" presStyleCnt="0"/>
      <dgm:spPr/>
    </dgm:pt>
    <dgm:pt modelId="{5C3D87D4-41A6-4D20-B20C-AC6110A50ACD}" type="pres">
      <dgm:prSet presAssocID="{385C120F-2ACD-4583-A196-F55ED8FB2047}" presName="Name18" presStyleLbl="sibTrans2D1" presStyleIdx="1" presStyleCnt="3"/>
      <dgm:spPr/>
    </dgm:pt>
    <dgm:pt modelId="{3CB488F3-E4D6-4D82-8981-6AF2C7DC08A5}" type="pres">
      <dgm:prSet presAssocID="{C232D8FB-BB16-49C2-B804-604D7FAE46B2}" presName="composite1" presStyleCnt="0"/>
      <dgm:spPr/>
    </dgm:pt>
    <dgm:pt modelId="{0044B9E2-BF06-47A0-A8FC-42F552869150}" type="pres">
      <dgm:prSet presAssocID="{C232D8FB-BB16-49C2-B804-604D7FAE46B2}" presName="dummyNode1" presStyleLbl="node1" presStyleIdx="1" presStyleCnt="4"/>
      <dgm:spPr/>
    </dgm:pt>
    <dgm:pt modelId="{3687E3A1-9982-458D-8240-284966CDF8FB}" type="pres">
      <dgm:prSet presAssocID="{C232D8FB-BB16-49C2-B804-604D7FAE46B2}" presName="childNode1" presStyleLbl="bgAcc1" presStyleIdx="2" presStyleCnt="4">
        <dgm:presLayoutVars>
          <dgm:bulletEnabled val="1"/>
        </dgm:presLayoutVars>
      </dgm:prSet>
      <dgm:spPr/>
    </dgm:pt>
    <dgm:pt modelId="{2E4A70C1-D809-4D8B-A853-A9B6064402DB}" type="pres">
      <dgm:prSet presAssocID="{C232D8FB-BB16-49C2-B804-604D7FAE46B2}" presName="childNode1tx" presStyleLbl="bgAcc1" presStyleIdx="2" presStyleCnt="4">
        <dgm:presLayoutVars>
          <dgm:bulletEnabled val="1"/>
        </dgm:presLayoutVars>
      </dgm:prSet>
      <dgm:spPr/>
    </dgm:pt>
    <dgm:pt modelId="{77DBA746-BCD0-47ED-9F02-ABD3543E79FD}" type="pres">
      <dgm:prSet presAssocID="{C232D8FB-BB16-49C2-B804-604D7FAE46B2}" presName="parentNode1" presStyleLbl="node1" presStyleIdx="2" presStyleCnt="4">
        <dgm:presLayoutVars>
          <dgm:chMax val="1"/>
          <dgm:bulletEnabled val="1"/>
        </dgm:presLayoutVars>
      </dgm:prSet>
      <dgm:spPr/>
    </dgm:pt>
    <dgm:pt modelId="{3B5821C0-F97F-4B86-87DF-85E4790F0FE1}" type="pres">
      <dgm:prSet presAssocID="{C232D8FB-BB16-49C2-B804-604D7FAE46B2}" presName="connSite1" presStyleCnt="0"/>
      <dgm:spPr/>
    </dgm:pt>
    <dgm:pt modelId="{8D133F92-9B15-4DC4-B394-1732D2528E8D}" type="pres">
      <dgm:prSet presAssocID="{524FF0D1-2FE2-4B53-B335-45BD395EAB03}" presName="Name9" presStyleLbl="sibTrans2D1" presStyleIdx="2" presStyleCnt="3"/>
      <dgm:spPr/>
    </dgm:pt>
    <dgm:pt modelId="{AFC07382-8301-40A7-9AE8-72475B5B55F7}" type="pres">
      <dgm:prSet presAssocID="{DC92B4FC-FB45-4EAC-BA3D-562649331805}" presName="composite2" presStyleCnt="0"/>
      <dgm:spPr/>
    </dgm:pt>
    <dgm:pt modelId="{5C0AC2FB-9B90-4862-8E66-AFECB292EF62}" type="pres">
      <dgm:prSet presAssocID="{DC92B4FC-FB45-4EAC-BA3D-562649331805}" presName="dummyNode2" presStyleLbl="node1" presStyleIdx="2" presStyleCnt="4"/>
      <dgm:spPr/>
    </dgm:pt>
    <dgm:pt modelId="{EB672C92-4659-435D-9D27-E762BB0854CD}" type="pres">
      <dgm:prSet presAssocID="{DC92B4FC-FB45-4EAC-BA3D-562649331805}" presName="childNode2" presStyleLbl="bgAcc1" presStyleIdx="3" presStyleCnt="4">
        <dgm:presLayoutVars>
          <dgm:bulletEnabled val="1"/>
        </dgm:presLayoutVars>
      </dgm:prSet>
      <dgm:spPr/>
    </dgm:pt>
    <dgm:pt modelId="{FAEF177F-3568-4FAF-8EE2-29029E9E4533}" type="pres">
      <dgm:prSet presAssocID="{DC92B4FC-FB45-4EAC-BA3D-562649331805}" presName="childNode2tx" presStyleLbl="bgAcc1" presStyleIdx="3" presStyleCnt="4">
        <dgm:presLayoutVars>
          <dgm:bulletEnabled val="1"/>
        </dgm:presLayoutVars>
      </dgm:prSet>
      <dgm:spPr/>
    </dgm:pt>
    <dgm:pt modelId="{AD11504C-94EA-414A-8E29-3BC0D9775199}" type="pres">
      <dgm:prSet presAssocID="{DC92B4FC-FB45-4EAC-BA3D-562649331805}" presName="parentNode2" presStyleLbl="node1" presStyleIdx="3" presStyleCnt="4">
        <dgm:presLayoutVars>
          <dgm:chMax val="0"/>
          <dgm:bulletEnabled val="1"/>
        </dgm:presLayoutVars>
      </dgm:prSet>
      <dgm:spPr/>
    </dgm:pt>
    <dgm:pt modelId="{6C8426EF-CA8C-4FFA-AA01-4AFD9E9F4A62}" type="pres">
      <dgm:prSet presAssocID="{DC92B4FC-FB45-4EAC-BA3D-562649331805}" presName="connSite2" presStyleCnt="0"/>
      <dgm:spPr/>
    </dgm:pt>
  </dgm:ptLst>
  <dgm:cxnLst>
    <dgm:cxn modelId="{06F20B00-8EDA-41BC-B559-9D3B585CDDD9}" type="presOf" srcId="{E9F4C36D-5963-4AE3-8C4F-FE3C4C66A29E}" destId="{EABBCACD-92F6-4EA1-94D2-7DDFF3065F46}" srcOrd="0" destOrd="1" presId="urn:microsoft.com/office/officeart/2005/8/layout/hProcess4"/>
    <dgm:cxn modelId="{CF7FD617-0814-4391-B297-A206BA23DF68}" srcId="{D8E35C78-3686-44B5-9588-FE308D596CFA}" destId="{98753D73-88F8-4C54-AAE2-29A7A1B0FFFB}" srcOrd="3" destOrd="0" parTransId="{892579E1-3380-463C-9275-33F1893AACFB}" sibTransId="{3DDB4B8C-3654-4535-AF71-7FA2803B3DB6}"/>
    <dgm:cxn modelId="{96BA4921-C65B-4879-8B68-D3B4119320B9}" srcId="{DC92B4FC-FB45-4EAC-BA3D-562649331805}" destId="{8268102E-C165-4A91-BE34-F1271B426878}" srcOrd="1" destOrd="0" parTransId="{69DC915C-9C5B-4B5D-BE6A-C242F67A11F6}" sibTransId="{B92AAA5C-8C53-4031-9805-ACC3B67BA45D}"/>
    <dgm:cxn modelId="{25047423-C649-4304-B3E7-42AE7682892E}" type="presOf" srcId="{DC92B4FC-FB45-4EAC-BA3D-562649331805}" destId="{AD11504C-94EA-414A-8E29-3BC0D9775199}" srcOrd="0" destOrd="0" presId="urn:microsoft.com/office/officeart/2005/8/layout/hProcess4"/>
    <dgm:cxn modelId="{B32ED523-0352-4A6F-A748-D23A78F4A378}" srcId="{1D640F3E-2A93-44A4-BC2B-E467CB59EBA2}" destId="{D8E35C78-3686-44B5-9588-FE308D596CFA}" srcOrd="1" destOrd="0" parTransId="{D8E46505-5049-4CC9-A843-9D8CC40EB96E}" sibTransId="{385C120F-2ACD-4583-A196-F55ED8FB2047}"/>
    <dgm:cxn modelId="{EB0B6C27-B71A-47EF-B5E5-B0A14C12B1A5}" type="presOf" srcId="{524FF0D1-2FE2-4B53-B335-45BD395EAB03}" destId="{8D133F92-9B15-4DC4-B394-1732D2528E8D}" srcOrd="0" destOrd="0" presId="urn:microsoft.com/office/officeart/2005/8/layout/hProcess4"/>
    <dgm:cxn modelId="{FED0632C-B058-48E6-9867-6690E93566CD}" type="presOf" srcId="{8268102E-C165-4A91-BE34-F1271B426878}" destId="{EB672C92-4659-435D-9D27-E762BB0854CD}" srcOrd="0" destOrd="1" presId="urn:microsoft.com/office/officeart/2005/8/layout/hProcess4"/>
    <dgm:cxn modelId="{40725F3A-D02B-4607-BFBF-DCD8A27849FA}" srcId="{C232D8FB-BB16-49C2-B804-604D7FAE46B2}" destId="{93AA9D09-C0D8-4868-AA41-98A3CE0689A6}" srcOrd="0" destOrd="0" parTransId="{D92AB332-CE7D-4CCA-B5C2-81DD5D2E0D09}" sibTransId="{14B55E7F-1082-4296-9DBB-B294961A8AD0}"/>
    <dgm:cxn modelId="{4709603B-DCBD-4FA2-A85C-D42BE2F34A34}" type="presOf" srcId="{02CA7D23-C9A6-466E-9EEB-3BB3C87893F8}" destId="{FAEF177F-3568-4FAF-8EE2-29029E9E4533}" srcOrd="1" destOrd="3" presId="urn:microsoft.com/office/officeart/2005/8/layout/hProcess4"/>
    <dgm:cxn modelId="{1B3F1D3C-E14A-425F-8FAA-4073A92D9E24}" type="presOf" srcId="{385C120F-2ACD-4583-A196-F55ED8FB2047}" destId="{5C3D87D4-41A6-4D20-B20C-AC6110A50ACD}" srcOrd="0" destOrd="0" presId="urn:microsoft.com/office/officeart/2005/8/layout/hProcess4"/>
    <dgm:cxn modelId="{A483405B-C4BC-465F-9161-7F5D8B58169B}" type="presOf" srcId="{A6529935-CDF4-421B-AA14-7727DF163853}" destId="{B1723C84-C607-415C-8110-2A12910A81B6}" srcOrd="0" destOrd="1" presId="urn:microsoft.com/office/officeart/2005/8/layout/hProcess4"/>
    <dgm:cxn modelId="{A5C67C5D-3A21-4951-988C-5168CFCAB327}" type="presOf" srcId="{BCC2F59F-3B6D-4660-A095-BCE3DBD84D30}" destId="{B1723C84-C607-415C-8110-2A12910A81B6}" srcOrd="0" destOrd="0" presId="urn:microsoft.com/office/officeart/2005/8/layout/hProcess4"/>
    <dgm:cxn modelId="{6C6E9541-A792-4040-8E5F-AE0E6ABF009B}" srcId="{D8E35C78-3686-44B5-9588-FE308D596CFA}" destId="{BCC2F59F-3B6D-4660-A095-BCE3DBD84D30}" srcOrd="0" destOrd="0" parTransId="{FF8BEB98-D1CF-46F5-B498-353ABEF7DB49}" sibTransId="{E9FC3224-B935-4E38-A6C1-FA8E03A26205}"/>
    <dgm:cxn modelId="{1245B844-55FB-43EB-8A6D-55081FCF4BE6}" type="presOf" srcId="{263520AD-4879-4B5C-A17A-C4FC23C9BC6A}" destId="{2E4A70C1-D809-4D8B-A853-A9B6064402DB}" srcOrd="1" destOrd="2" presId="urn:microsoft.com/office/officeart/2005/8/layout/hProcess4"/>
    <dgm:cxn modelId="{26D75465-A434-47A1-835C-67D9B5655795}" type="presOf" srcId="{8268102E-C165-4A91-BE34-F1271B426878}" destId="{FAEF177F-3568-4FAF-8EE2-29029E9E4533}" srcOrd="1" destOrd="1" presId="urn:microsoft.com/office/officeart/2005/8/layout/hProcess4"/>
    <dgm:cxn modelId="{3EFC0F66-3C0D-4267-A1FE-198A39BA860A}" type="presOf" srcId="{A51319CA-01EE-4ACA-BAD9-5C97BC81A912}" destId="{54047BDF-86C1-4CB5-8094-5CEC23D0FEE6}" srcOrd="0" destOrd="0" presId="urn:microsoft.com/office/officeart/2005/8/layout/hProcess4"/>
    <dgm:cxn modelId="{3AD77046-8039-4CD9-862B-FCD303843038}" type="presOf" srcId="{263520AD-4879-4B5C-A17A-C4FC23C9BC6A}" destId="{3687E3A1-9982-458D-8240-284966CDF8FB}" srcOrd="0" destOrd="2" presId="urn:microsoft.com/office/officeart/2005/8/layout/hProcess4"/>
    <dgm:cxn modelId="{0E72A646-B991-4A99-8E30-8194CB81DAA4}" srcId="{C232D8FB-BB16-49C2-B804-604D7FAE46B2}" destId="{263520AD-4879-4B5C-A17A-C4FC23C9BC6A}" srcOrd="2" destOrd="0" parTransId="{D0EE8D50-3DD7-4E38-9DCE-A7B28D26339E}" sibTransId="{468B0618-43BE-4746-A021-F09CF4C5D89D}"/>
    <dgm:cxn modelId="{07B30F67-796F-4CB4-AF80-25735B9F091C}" type="presOf" srcId="{C2FED912-DC1C-492B-B91D-71ED41017ADA}" destId="{3687E3A1-9982-458D-8240-284966CDF8FB}" srcOrd="0" destOrd="1" presId="urn:microsoft.com/office/officeart/2005/8/layout/hProcess4"/>
    <dgm:cxn modelId="{FF35AE68-EA38-43DB-A8D0-C44300BB04B9}" type="presOf" srcId="{93AA9D09-C0D8-4868-AA41-98A3CE0689A6}" destId="{3687E3A1-9982-458D-8240-284966CDF8FB}" srcOrd="0" destOrd="0" presId="urn:microsoft.com/office/officeart/2005/8/layout/hProcess4"/>
    <dgm:cxn modelId="{DA175E69-A9DB-4C4E-8C70-18F124B12DD3}" type="presOf" srcId="{F76E77B3-C5A9-43E0-BCE4-968667F1CAAD}" destId="{EABBCACD-92F6-4EA1-94D2-7DDFF3065F46}" srcOrd="0" destOrd="0" presId="urn:microsoft.com/office/officeart/2005/8/layout/hProcess4"/>
    <dgm:cxn modelId="{07700C50-92E3-488D-A2AB-E005B50E0621}" type="presOf" srcId="{DCBA89C4-7E57-41AD-BDAD-EFFA0C8E0A84}" destId="{B1723C84-C607-415C-8110-2A12910A81B6}" srcOrd="0" destOrd="2" presId="urn:microsoft.com/office/officeart/2005/8/layout/hProcess4"/>
    <dgm:cxn modelId="{128D6073-1F9A-449A-A127-092B8FB3704E}" srcId="{D8E35C78-3686-44B5-9588-FE308D596CFA}" destId="{A6529935-CDF4-421B-AA14-7727DF163853}" srcOrd="1" destOrd="0" parTransId="{D2CCF3B6-440A-46A8-A3C8-29A8B0D9F319}" sibTransId="{1A14DF26-1047-4FAC-A886-7FB3F6CCD066}"/>
    <dgm:cxn modelId="{8C67A277-A0C7-421E-A30B-11A78FD43AE6}" srcId="{DC92B4FC-FB45-4EAC-BA3D-562649331805}" destId="{B7AF5850-15A8-4CDD-ACAB-AE5F73FC1249}" srcOrd="0" destOrd="0" parTransId="{8A0CDA61-6856-4AC0-A15F-E05956E2ECC0}" sibTransId="{A1D44AC1-63E6-49E9-B650-673D00518B36}"/>
    <dgm:cxn modelId="{9D6DCD59-69E6-42A0-9614-569ED6528C3B}" type="presOf" srcId="{B7AF5850-15A8-4CDD-ACAB-AE5F73FC1249}" destId="{EB672C92-4659-435D-9D27-E762BB0854CD}" srcOrd="0" destOrd="0" presId="urn:microsoft.com/office/officeart/2005/8/layout/hProcess4"/>
    <dgm:cxn modelId="{5833B15A-77AC-4AA6-8BB6-9762BBC03DA6}" type="presOf" srcId="{E9F4C36D-5963-4AE3-8C4F-FE3C4C66A29E}" destId="{29D210A6-9E12-4535-98E4-B7F7F4B7572F}" srcOrd="1" destOrd="1" presId="urn:microsoft.com/office/officeart/2005/8/layout/hProcess4"/>
    <dgm:cxn modelId="{DA81317B-0EFD-412E-A8B3-3F3380722B53}" type="presOf" srcId="{1D640F3E-2A93-44A4-BC2B-E467CB59EBA2}" destId="{0551D897-D749-4A2F-86BA-106420B401D2}" srcOrd="0" destOrd="0" presId="urn:microsoft.com/office/officeart/2005/8/layout/hProcess4"/>
    <dgm:cxn modelId="{4EBC0C87-3DB4-48A0-9304-845CD0D4B59D}" type="presOf" srcId="{02CA7D23-C9A6-466E-9EEB-3BB3C87893F8}" destId="{EB672C92-4659-435D-9D27-E762BB0854CD}" srcOrd="0" destOrd="3" presId="urn:microsoft.com/office/officeart/2005/8/layout/hProcess4"/>
    <dgm:cxn modelId="{C1851687-B2E3-4A5E-9E71-1A1D7C3E760E}" srcId="{4E095386-6E4C-4809-88E9-15FD2E37934E}" destId="{F76E77B3-C5A9-43E0-BCE4-968667F1CAAD}" srcOrd="0" destOrd="0" parTransId="{F2277677-EA5F-4687-95DB-260E9CE22258}" sibTransId="{1DA275AD-78CB-4788-A313-8732FA352E7E}"/>
    <dgm:cxn modelId="{3E625F89-C942-498E-8610-FE2CAD9E3BFA}" srcId="{4E095386-6E4C-4809-88E9-15FD2E37934E}" destId="{E9F4C36D-5963-4AE3-8C4F-FE3C4C66A29E}" srcOrd="1" destOrd="0" parTransId="{4454AFBA-0090-4030-B2CF-844DC35CA7AF}" sibTransId="{66D830C5-11E9-4211-9F91-168A9C1F16D1}"/>
    <dgm:cxn modelId="{AAB4708B-B5AB-402A-8A7A-BA83F3CFBB0A}" srcId="{DC92B4FC-FB45-4EAC-BA3D-562649331805}" destId="{17EF00BC-722E-4DD8-B486-62B364F24897}" srcOrd="4" destOrd="0" parTransId="{2A821352-5ACA-43EF-AFC7-B9140B85256B}" sibTransId="{0C3A9334-BA14-4F93-9BA7-5BFA98B16121}"/>
    <dgm:cxn modelId="{F458C898-71CA-4DB0-AE73-D9685FD095F4}" srcId="{1D640F3E-2A93-44A4-BC2B-E467CB59EBA2}" destId="{C232D8FB-BB16-49C2-B804-604D7FAE46B2}" srcOrd="2" destOrd="0" parTransId="{515A40D3-FAB7-4D08-AF52-C7DA02568389}" sibTransId="{524FF0D1-2FE2-4B53-B335-45BD395EAB03}"/>
    <dgm:cxn modelId="{C260FD9E-A269-4597-9DB0-BD48FE352272}" srcId="{D8E35C78-3686-44B5-9588-FE308D596CFA}" destId="{DCBA89C4-7E57-41AD-BDAD-EFFA0C8E0A84}" srcOrd="2" destOrd="0" parTransId="{C4747ED5-940A-49B6-A4E4-B63963A25C10}" sibTransId="{2DA8183B-B400-4075-B053-77330DD40054}"/>
    <dgm:cxn modelId="{686774A6-3AD3-4391-B5DF-54906083C72D}" type="presOf" srcId="{4E095386-6E4C-4809-88E9-15FD2E37934E}" destId="{86F2C2FE-7394-4577-A1DA-AD6BD688F437}" srcOrd="0" destOrd="0" presId="urn:microsoft.com/office/officeart/2005/8/layout/hProcess4"/>
    <dgm:cxn modelId="{63649DA9-4728-4256-A361-4E3820A5494F}" type="presOf" srcId="{17EF00BC-722E-4DD8-B486-62B364F24897}" destId="{EB672C92-4659-435D-9D27-E762BB0854CD}" srcOrd="0" destOrd="4" presId="urn:microsoft.com/office/officeart/2005/8/layout/hProcess4"/>
    <dgm:cxn modelId="{D35125B3-9C63-4CA1-A09D-0FA2BF209F0F}" srcId="{1D640F3E-2A93-44A4-BC2B-E467CB59EBA2}" destId="{DC92B4FC-FB45-4EAC-BA3D-562649331805}" srcOrd="3" destOrd="0" parTransId="{E417A304-3563-4784-8116-5F15F896FCFF}" sibTransId="{8AD67F8E-A63A-4E25-B349-BF65E8787EF8}"/>
    <dgm:cxn modelId="{72FAAFB3-F3AC-4AF1-8F23-70AFAEA20E38}" type="presOf" srcId="{C2FED912-DC1C-492B-B91D-71ED41017ADA}" destId="{2E4A70C1-D809-4D8B-A853-A9B6064402DB}" srcOrd="1" destOrd="1" presId="urn:microsoft.com/office/officeart/2005/8/layout/hProcess4"/>
    <dgm:cxn modelId="{523950B6-CD97-406C-B10E-9C606E29F1D6}" type="presOf" srcId="{C232D8FB-BB16-49C2-B804-604D7FAE46B2}" destId="{77DBA746-BCD0-47ED-9F02-ABD3543E79FD}" srcOrd="0" destOrd="0" presId="urn:microsoft.com/office/officeart/2005/8/layout/hProcess4"/>
    <dgm:cxn modelId="{70A2EFB7-0E3D-4F39-ABC5-B7D4E2A63457}" srcId="{C232D8FB-BB16-49C2-B804-604D7FAE46B2}" destId="{C2FED912-DC1C-492B-B91D-71ED41017ADA}" srcOrd="1" destOrd="0" parTransId="{3833F4BC-3307-4B6E-A907-16BA32F43D5A}" sibTransId="{5054C83C-29E4-4A67-92AE-EA041597DD57}"/>
    <dgm:cxn modelId="{124122B8-6061-4A9F-B1C4-8DBC7FD0761D}" type="presOf" srcId="{17EF00BC-722E-4DD8-B486-62B364F24897}" destId="{FAEF177F-3568-4FAF-8EE2-29029E9E4533}" srcOrd="1" destOrd="4" presId="urn:microsoft.com/office/officeart/2005/8/layout/hProcess4"/>
    <dgm:cxn modelId="{E5D0D1B8-8BC2-48B0-A9DE-F8563C1F11B6}" type="presOf" srcId="{DCBA89C4-7E57-41AD-BDAD-EFFA0C8E0A84}" destId="{AA8A27B9-B6BA-406D-AB9D-67756B259528}" srcOrd="1" destOrd="2" presId="urn:microsoft.com/office/officeart/2005/8/layout/hProcess4"/>
    <dgm:cxn modelId="{901066C2-14D2-4738-9EAE-F6049C8AA17C}" srcId="{1D640F3E-2A93-44A4-BC2B-E467CB59EBA2}" destId="{4E095386-6E4C-4809-88E9-15FD2E37934E}" srcOrd="0" destOrd="0" parTransId="{C71AD7BF-E32D-4003-B140-3E5980FBD3E6}" sibTransId="{A51319CA-01EE-4ACA-BAD9-5C97BC81A912}"/>
    <dgm:cxn modelId="{C44E4BC9-11CB-4386-9AB6-AF25B149DA58}" srcId="{DC92B4FC-FB45-4EAC-BA3D-562649331805}" destId="{0FE6FA2B-1031-4537-9F29-A41EFFF8858E}" srcOrd="2" destOrd="0" parTransId="{5541C7A1-7476-4C14-8762-178F9D438A18}" sibTransId="{97D78277-62A9-4A57-A573-1AC065DD136E}"/>
    <dgm:cxn modelId="{70B617CF-BC84-4966-80A7-8638C9F3E915}" srcId="{DC92B4FC-FB45-4EAC-BA3D-562649331805}" destId="{02CA7D23-C9A6-466E-9EEB-3BB3C87893F8}" srcOrd="3" destOrd="0" parTransId="{10ECF7F7-4876-4F5C-A572-7A3150843A0F}" sibTransId="{2FF1FC27-B7B6-4E39-81E9-A92B1077B20C}"/>
    <dgm:cxn modelId="{C28BD7D2-FBF4-4004-936D-3B329F34DFDB}" type="presOf" srcId="{A6529935-CDF4-421B-AA14-7727DF163853}" destId="{AA8A27B9-B6BA-406D-AB9D-67756B259528}" srcOrd="1" destOrd="1" presId="urn:microsoft.com/office/officeart/2005/8/layout/hProcess4"/>
    <dgm:cxn modelId="{6A5D50DF-5BC3-45FE-A951-E278998BB1C5}" type="presOf" srcId="{B7AF5850-15A8-4CDD-ACAB-AE5F73FC1249}" destId="{FAEF177F-3568-4FAF-8EE2-29029E9E4533}" srcOrd="1" destOrd="0" presId="urn:microsoft.com/office/officeart/2005/8/layout/hProcess4"/>
    <dgm:cxn modelId="{29A326E9-CA78-436B-9C7B-9B1643E801DA}" type="presOf" srcId="{D8E35C78-3686-44B5-9588-FE308D596CFA}" destId="{773A8144-1C0D-47C5-9B57-B22B45EC4E62}" srcOrd="0" destOrd="0" presId="urn:microsoft.com/office/officeart/2005/8/layout/hProcess4"/>
    <dgm:cxn modelId="{73EBAAED-B0FA-4E5D-A443-4FD1A1061855}" type="presOf" srcId="{F76E77B3-C5A9-43E0-BCE4-968667F1CAAD}" destId="{29D210A6-9E12-4535-98E4-B7F7F4B7572F}" srcOrd="1" destOrd="0" presId="urn:microsoft.com/office/officeart/2005/8/layout/hProcess4"/>
    <dgm:cxn modelId="{BDD279F1-8719-4F1F-8573-0DEEBF3AAD45}" type="presOf" srcId="{98753D73-88F8-4C54-AAE2-29A7A1B0FFFB}" destId="{B1723C84-C607-415C-8110-2A12910A81B6}" srcOrd="0" destOrd="3" presId="urn:microsoft.com/office/officeart/2005/8/layout/hProcess4"/>
    <dgm:cxn modelId="{6A07B9F6-2FBC-4A11-A824-9FEC259CB206}" type="presOf" srcId="{BCC2F59F-3B6D-4660-A095-BCE3DBD84D30}" destId="{AA8A27B9-B6BA-406D-AB9D-67756B259528}" srcOrd="1" destOrd="0" presId="urn:microsoft.com/office/officeart/2005/8/layout/hProcess4"/>
    <dgm:cxn modelId="{5932C0FA-9E1C-4205-8EE6-3C9A6E5AED85}" type="presOf" srcId="{0FE6FA2B-1031-4537-9F29-A41EFFF8858E}" destId="{FAEF177F-3568-4FAF-8EE2-29029E9E4533}" srcOrd="1" destOrd="2" presId="urn:microsoft.com/office/officeart/2005/8/layout/hProcess4"/>
    <dgm:cxn modelId="{E8F2C5FD-F64A-401D-800E-7C6685B3B623}" type="presOf" srcId="{98753D73-88F8-4C54-AAE2-29A7A1B0FFFB}" destId="{AA8A27B9-B6BA-406D-AB9D-67756B259528}" srcOrd="1" destOrd="3" presId="urn:microsoft.com/office/officeart/2005/8/layout/hProcess4"/>
    <dgm:cxn modelId="{A6D3EEFD-6FE3-425C-BCC9-2C70AD9F50A7}" type="presOf" srcId="{0FE6FA2B-1031-4537-9F29-A41EFFF8858E}" destId="{EB672C92-4659-435D-9D27-E762BB0854CD}" srcOrd="0" destOrd="2" presId="urn:microsoft.com/office/officeart/2005/8/layout/hProcess4"/>
    <dgm:cxn modelId="{412C57FE-1FAC-428F-850A-E70D22DA9FE0}" type="presOf" srcId="{93AA9D09-C0D8-4868-AA41-98A3CE0689A6}" destId="{2E4A70C1-D809-4D8B-A853-A9B6064402DB}" srcOrd="1" destOrd="0" presId="urn:microsoft.com/office/officeart/2005/8/layout/hProcess4"/>
    <dgm:cxn modelId="{482E8D73-A79D-4F72-8BD6-F299F99E75B4}" type="presParOf" srcId="{0551D897-D749-4A2F-86BA-106420B401D2}" destId="{5D4EDFA9-A1E1-4E2A-8ADE-8D8629A49702}" srcOrd="0" destOrd="0" presId="urn:microsoft.com/office/officeart/2005/8/layout/hProcess4"/>
    <dgm:cxn modelId="{6EE14F07-D9CD-4E72-80F1-F258E6BE8698}" type="presParOf" srcId="{0551D897-D749-4A2F-86BA-106420B401D2}" destId="{258BB954-72F7-45E5-AB39-EAA4320C9813}" srcOrd="1" destOrd="0" presId="urn:microsoft.com/office/officeart/2005/8/layout/hProcess4"/>
    <dgm:cxn modelId="{77C7CCB9-9D9E-4325-B0FC-41CE98F0DF9E}" type="presParOf" srcId="{0551D897-D749-4A2F-86BA-106420B401D2}" destId="{1FECF290-A5CE-4B27-8176-A56D5FA13709}" srcOrd="2" destOrd="0" presId="urn:microsoft.com/office/officeart/2005/8/layout/hProcess4"/>
    <dgm:cxn modelId="{BE0692BB-7D43-45F0-B444-973FF7A2B4D3}" type="presParOf" srcId="{1FECF290-A5CE-4B27-8176-A56D5FA13709}" destId="{AD97702D-24A3-49B5-BEBD-B7BB0A0FEC88}" srcOrd="0" destOrd="0" presId="urn:microsoft.com/office/officeart/2005/8/layout/hProcess4"/>
    <dgm:cxn modelId="{61E4D67B-E34B-4503-9C5B-612D6A403F86}" type="presParOf" srcId="{AD97702D-24A3-49B5-BEBD-B7BB0A0FEC88}" destId="{6DAAFC3B-B043-4337-B930-300E53915CC0}" srcOrd="0" destOrd="0" presId="urn:microsoft.com/office/officeart/2005/8/layout/hProcess4"/>
    <dgm:cxn modelId="{5C869F58-FC62-465C-8341-4367139E0CC4}" type="presParOf" srcId="{AD97702D-24A3-49B5-BEBD-B7BB0A0FEC88}" destId="{EABBCACD-92F6-4EA1-94D2-7DDFF3065F46}" srcOrd="1" destOrd="0" presId="urn:microsoft.com/office/officeart/2005/8/layout/hProcess4"/>
    <dgm:cxn modelId="{F368F83E-7C35-4659-ADFB-05BCF9621C21}" type="presParOf" srcId="{AD97702D-24A3-49B5-BEBD-B7BB0A0FEC88}" destId="{29D210A6-9E12-4535-98E4-B7F7F4B7572F}" srcOrd="2" destOrd="0" presId="urn:microsoft.com/office/officeart/2005/8/layout/hProcess4"/>
    <dgm:cxn modelId="{35E2AD7F-9AB7-48C1-ADCB-2E2B0D865AC3}" type="presParOf" srcId="{AD97702D-24A3-49B5-BEBD-B7BB0A0FEC88}" destId="{86F2C2FE-7394-4577-A1DA-AD6BD688F437}" srcOrd="3" destOrd="0" presId="urn:microsoft.com/office/officeart/2005/8/layout/hProcess4"/>
    <dgm:cxn modelId="{A324859D-A4D4-4054-8B64-064484ABDFE6}" type="presParOf" srcId="{AD97702D-24A3-49B5-BEBD-B7BB0A0FEC88}" destId="{71614ABE-DC95-48B9-937A-8A00465782C0}" srcOrd="4" destOrd="0" presId="urn:microsoft.com/office/officeart/2005/8/layout/hProcess4"/>
    <dgm:cxn modelId="{D2DCE8F6-AE98-40B1-9678-A0B9EA7F22DE}" type="presParOf" srcId="{1FECF290-A5CE-4B27-8176-A56D5FA13709}" destId="{54047BDF-86C1-4CB5-8094-5CEC23D0FEE6}" srcOrd="1" destOrd="0" presId="urn:microsoft.com/office/officeart/2005/8/layout/hProcess4"/>
    <dgm:cxn modelId="{E4A9C82A-FE88-40A0-832C-571C64E5DD03}" type="presParOf" srcId="{1FECF290-A5CE-4B27-8176-A56D5FA13709}" destId="{7543B6B3-F697-4496-818C-C75882675EDA}" srcOrd="2" destOrd="0" presId="urn:microsoft.com/office/officeart/2005/8/layout/hProcess4"/>
    <dgm:cxn modelId="{05FEC604-1372-453E-A5A3-3D24BB71210F}" type="presParOf" srcId="{7543B6B3-F697-4496-818C-C75882675EDA}" destId="{669FCF73-1E3F-4007-85F9-6436D43CBB13}" srcOrd="0" destOrd="0" presId="urn:microsoft.com/office/officeart/2005/8/layout/hProcess4"/>
    <dgm:cxn modelId="{2D99C466-28B0-4B01-BDC9-BA08C2E070EB}" type="presParOf" srcId="{7543B6B3-F697-4496-818C-C75882675EDA}" destId="{B1723C84-C607-415C-8110-2A12910A81B6}" srcOrd="1" destOrd="0" presId="urn:microsoft.com/office/officeart/2005/8/layout/hProcess4"/>
    <dgm:cxn modelId="{60D95F27-5B8B-4C68-8E5F-E0318F61BDD1}" type="presParOf" srcId="{7543B6B3-F697-4496-818C-C75882675EDA}" destId="{AA8A27B9-B6BA-406D-AB9D-67756B259528}" srcOrd="2" destOrd="0" presId="urn:microsoft.com/office/officeart/2005/8/layout/hProcess4"/>
    <dgm:cxn modelId="{20A53C1F-6039-40BE-B69C-2DCFFD3EB679}" type="presParOf" srcId="{7543B6B3-F697-4496-818C-C75882675EDA}" destId="{773A8144-1C0D-47C5-9B57-B22B45EC4E62}" srcOrd="3" destOrd="0" presId="urn:microsoft.com/office/officeart/2005/8/layout/hProcess4"/>
    <dgm:cxn modelId="{EC76F8D2-B4C7-4335-9861-1A8BEA115C94}" type="presParOf" srcId="{7543B6B3-F697-4496-818C-C75882675EDA}" destId="{0CD7C78E-8C55-4D6B-9E19-5455E37B9202}" srcOrd="4" destOrd="0" presId="urn:microsoft.com/office/officeart/2005/8/layout/hProcess4"/>
    <dgm:cxn modelId="{B1188997-242A-4F87-B78C-AFA89328ED94}" type="presParOf" srcId="{1FECF290-A5CE-4B27-8176-A56D5FA13709}" destId="{5C3D87D4-41A6-4D20-B20C-AC6110A50ACD}" srcOrd="3" destOrd="0" presId="urn:microsoft.com/office/officeart/2005/8/layout/hProcess4"/>
    <dgm:cxn modelId="{8598B668-33E5-46D6-8596-AE19FCF10490}" type="presParOf" srcId="{1FECF290-A5CE-4B27-8176-A56D5FA13709}" destId="{3CB488F3-E4D6-4D82-8981-6AF2C7DC08A5}" srcOrd="4" destOrd="0" presId="urn:microsoft.com/office/officeart/2005/8/layout/hProcess4"/>
    <dgm:cxn modelId="{5F796A09-0965-4C6D-A4DA-73EED6D85940}" type="presParOf" srcId="{3CB488F3-E4D6-4D82-8981-6AF2C7DC08A5}" destId="{0044B9E2-BF06-47A0-A8FC-42F552869150}" srcOrd="0" destOrd="0" presId="urn:microsoft.com/office/officeart/2005/8/layout/hProcess4"/>
    <dgm:cxn modelId="{C260EB66-3294-4BFB-BBE7-7DB8BDDDB695}" type="presParOf" srcId="{3CB488F3-E4D6-4D82-8981-6AF2C7DC08A5}" destId="{3687E3A1-9982-458D-8240-284966CDF8FB}" srcOrd="1" destOrd="0" presId="urn:microsoft.com/office/officeart/2005/8/layout/hProcess4"/>
    <dgm:cxn modelId="{B302988B-39E9-47D3-BD30-CAD62386C3E4}" type="presParOf" srcId="{3CB488F3-E4D6-4D82-8981-6AF2C7DC08A5}" destId="{2E4A70C1-D809-4D8B-A853-A9B6064402DB}" srcOrd="2" destOrd="0" presId="urn:microsoft.com/office/officeart/2005/8/layout/hProcess4"/>
    <dgm:cxn modelId="{3EA6E904-67E6-41E8-95C6-DC46275E52AC}" type="presParOf" srcId="{3CB488F3-E4D6-4D82-8981-6AF2C7DC08A5}" destId="{77DBA746-BCD0-47ED-9F02-ABD3543E79FD}" srcOrd="3" destOrd="0" presId="urn:microsoft.com/office/officeart/2005/8/layout/hProcess4"/>
    <dgm:cxn modelId="{814EF459-BF26-465E-ABC9-03CAA3ED89A9}" type="presParOf" srcId="{3CB488F3-E4D6-4D82-8981-6AF2C7DC08A5}" destId="{3B5821C0-F97F-4B86-87DF-85E4790F0FE1}" srcOrd="4" destOrd="0" presId="urn:microsoft.com/office/officeart/2005/8/layout/hProcess4"/>
    <dgm:cxn modelId="{D43E6A2C-5092-4E98-8537-5223CFA74767}" type="presParOf" srcId="{1FECF290-A5CE-4B27-8176-A56D5FA13709}" destId="{8D133F92-9B15-4DC4-B394-1732D2528E8D}" srcOrd="5" destOrd="0" presId="urn:microsoft.com/office/officeart/2005/8/layout/hProcess4"/>
    <dgm:cxn modelId="{1648EEE7-CC31-4E55-A54B-E3AFB48AA036}" type="presParOf" srcId="{1FECF290-A5CE-4B27-8176-A56D5FA13709}" destId="{AFC07382-8301-40A7-9AE8-72475B5B55F7}" srcOrd="6" destOrd="0" presId="urn:microsoft.com/office/officeart/2005/8/layout/hProcess4"/>
    <dgm:cxn modelId="{116021BF-C05C-489E-A728-D992B3DDE653}" type="presParOf" srcId="{AFC07382-8301-40A7-9AE8-72475B5B55F7}" destId="{5C0AC2FB-9B90-4862-8E66-AFECB292EF62}" srcOrd="0" destOrd="0" presId="urn:microsoft.com/office/officeart/2005/8/layout/hProcess4"/>
    <dgm:cxn modelId="{5089FA53-755F-4FBC-994E-A508CC7C455A}" type="presParOf" srcId="{AFC07382-8301-40A7-9AE8-72475B5B55F7}" destId="{EB672C92-4659-435D-9D27-E762BB0854CD}" srcOrd="1" destOrd="0" presId="urn:microsoft.com/office/officeart/2005/8/layout/hProcess4"/>
    <dgm:cxn modelId="{2BC06813-0C9B-40A3-B572-2DF85D79621D}" type="presParOf" srcId="{AFC07382-8301-40A7-9AE8-72475B5B55F7}" destId="{FAEF177F-3568-4FAF-8EE2-29029E9E4533}" srcOrd="2" destOrd="0" presId="urn:microsoft.com/office/officeart/2005/8/layout/hProcess4"/>
    <dgm:cxn modelId="{71FAB4A8-36CF-4025-B24A-237BCE1BCD30}" type="presParOf" srcId="{AFC07382-8301-40A7-9AE8-72475B5B55F7}" destId="{AD11504C-94EA-414A-8E29-3BC0D9775199}" srcOrd="3" destOrd="0" presId="urn:microsoft.com/office/officeart/2005/8/layout/hProcess4"/>
    <dgm:cxn modelId="{4C27039F-ABF3-4DA8-BF96-34640D445CCA}" type="presParOf" srcId="{AFC07382-8301-40A7-9AE8-72475B5B55F7}" destId="{6C8426EF-CA8C-4FFA-AA01-4AFD9E9F4A62}"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BBCACD-92F6-4EA1-94D2-7DDFF3065F46}">
      <dsp:nvSpPr>
        <dsp:cNvPr id="0" name=""/>
        <dsp:cNvSpPr/>
      </dsp:nvSpPr>
      <dsp:spPr>
        <a:xfrm>
          <a:off x="178" y="874445"/>
          <a:ext cx="1237094" cy="102034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Cloud Familiarization</a:t>
          </a:r>
        </a:p>
        <a:p>
          <a:pPr marL="57150" lvl="1" indent="-57150" algn="l" defTabSz="311150">
            <a:lnSpc>
              <a:spcPct val="90000"/>
            </a:lnSpc>
            <a:spcBef>
              <a:spcPct val="0"/>
            </a:spcBef>
            <a:spcAft>
              <a:spcPct val="15000"/>
            </a:spcAft>
            <a:buChar char="•"/>
          </a:pPr>
          <a:r>
            <a:rPr lang="en-US" sz="700" kern="1200"/>
            <a:t>Business Process Review</a:t>
          </a:r>
        </a:p>
      </dsp:txBody>
      <dsp:txXfrm>
        <a:off x="23659" y="897926"/>
        <a:ext cx="1190132" cy="754736"/>
      </dsp:txXfrm>
    </dsp:sp>
    <dsp:sp modelId="{54047BDF-86C1-4CB5-8094-5CEC23D0FEE6}">
      <dsp:nvSpPr>
        <dsp:cNvPr id="0" name=""/>
        <dsp:cNvSpPr/>
      </dsp:nvSpPr>
      <dsp:spPr>
        <a:xfrm>
          <a:off x="686896" y="1086942"/>
          <a:ext cx="1409368" cy="1409368"/>
        </a:xfrm>
        <a:prstGeom prst="leftCircularArrow">
          <a:avLst>
            <a:gd name="adj1" fmla="val 3472"/>
            <a:gd name="adj2" fmla="val 430507"/>
            <a:gd name="adj3" fmla="val 2206018"/>
            <a:gd name="adj4" fmla="val 9024489"/>
            <a:gd name="adj5" fmla="val 4051"/>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F2C2FE-7394-4577-A1DA-AD6BD688F437}">
      <dsp:nvSpPr>
        <dsp:cNvPr id="0" name=""/>
        <dsp:cNvSpPr/>
      </dsp:nvSpPr>
      <dsp:spPr>
        <a:xfrm>
          <a:off x="275088" y="1676144"/>
          <a:ext cx="1099639" cy="43729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Pre-Planning</a:t>
          </a:r>
        </a:p>
      </dsp:txBody>
      <dsp:txXfrm>
        <a:off x="287896" y="1688952"/>
        <a:ext cx="1074023" cy="411674"/>
      </dsp:txXfrm>
    </dsp:sp>
    <dsp:sp modelId="{B1723C84-C607-415C-8110-2A12910A81B6}">
      <dsp:nvSpPr>
        <dsp:cNvPr id="0" name=""/>
        <dsp:cNvSpPr/>
      </dsp:nvSpPr>
      <dsp:spPr>
        <a:xfrm>
          <a:off x="1607743" y="874445"/>
          <a:ext cx="1237094" cy="102034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23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Functional Review</a:t>
          </a:r>
        </a:p>
        <a:p>
          <a:pPr marL="57150" lvl="1" indent="-57150" algn="l" defTabSz="311150">
            <a:lnSpc>
              <a:spcPct val="90000"/>
            </a:lnSpc>
            <a:spcBef>
              <a:spcPct val="0"/>
            </a:spcBef>
            <a:spcAft>
              <a:spcPct val="15000"/>
            </a:spcAft>
            <a:buChar char="•"/>
          </a:pPr>
          <a:r>
            <a:rPr lang="en-US" sz="700" kern="1200"/>
            <a:t>Environmental Assessment</a:t>
          </a:r>
        </a:p>
        <a:p>
          <a:pPr marL="57150" lvl="1" indent="-57150" algn="l" defTabSz="311150">
            <a:lnSpc>
              <a:spcPct val="90000"/>
            </a:lnSpc>
            <a:spcBef>
              <a:spcPct val="0"/>
            </a:spcBef>
            <a:spcAft>
              <a:spcPct val="15000"/>
            </a:spcAft>
            <a:buChar char="•"/>
          </a:pPr>
          <a:r>
            <a:rPr lang="en-US" sz="700" kern="1200"/>
            <a:t>Strategy Selection</a:t>
          </a:r>
        </a:p>
        <a:p>
          <a:pPr marL="57150" lvl="1" indent="-57150" algn="l" defTabSz="311150">
            <a:lnSpc>
              <a:spcPct val="90000"/>
            </a:lnSpc>
            <a:spcBef>
              <a:spcPct val="0"/>
            </a:spcBef>
            <a:spcAft>
              <a:spcPct val="15000"/>
            </a:spcAft>
            <a:buChar char="•"/>
          </a:pPr>
          <a:r>
            <a:rPr lang="en-US" sz="700" kern="1200"/>
            <a:t>Business Case Development and Approval</a:t>
          </a:r>
        </a:p>
      </dsp:txBody>
      <dsp:txXfrm>
        <a:off x="1631224" y="1116571"/>
        <a:ext cx="1190132" cy="754736"/>
      </dsp:txXfrm>
    </dsp:sp>
    <dsp:sp modelId="{5C3D87D4-41A6-4D20-B20C-AC6110A50ACD}">
      <dsp:nvSpPr>
        <dsp:cNvPr id="0" name=""/>
        <dsp:cNvSpPr/>
      </dsp:nvSpPr>
      <dsp:spPr>
        <a:xfrm>
          <a:off x="2284151" y="232917"/>
          <a:ext cx="1567441" cy="1567441"/>
        </a:xfrm>
        <a:prstGeom prst="circularArrow">
          <a:avLst>
            <a:gd name="adj1" fmla="val 3122"/>
            <a:gd name="adj2" fmla="val 383890"/>
            <a:gd name="adj3" fmla="val 19440599"/>
            <a:gd name="adj4" fmla="val 12575511"/>
            <a:gd name="adj5" fmla="val 3642"/>
          </a:avLst>
        </a:prstGeom>
        <a:solidFill>
          <a:schemeClr val="accent5">
            <a:hueOff val="0"/>
            <a:satOff val="0"/>
            <a:lumOff val="-35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3A8144-1C0D-47C5-9B57-B22B45EC4E62}">
      <dsp:nvSpPr>
        <dsp:cNvPr id="0" name=""/>
        <dsp:cNvSpPr/>
      </dsp:nvSpPr>
      <dsp:spPr>
        <a:xfrm>
          <a:off x="1882652" y="655800"/>
          <a:ext cx="1099639" cy="437290"/>
        </a:xfrm>
        <a:prstGeom prst="roundRect">
          <a:avLst>
            <a:gd name="adj" fmla="val 10000"/>
          </a:avLst>
        </a:prstGeom>
        <a:solidFill>
          <a:schemeClr val="accent5">
            <a:hueOff val="0"/>
            <a:satOff val="0"/>
            <a:lumOff val="-23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Planning</a:t>
          </a:r>
        </a:p>
      </dsp:txBody>
      <dsp:txXfrm>
        <a:off x="1895460" y="668608"/>
        <a:ext cx="1074023" cy="411674"/>
      </dsp:txXfrm>
    </dsp:sp>
    <dsp:sp modelId="{3687E3A1-9982-458D-8240-284966CDF8FB}">
      <dsp:nvSpPr>
        <dsp:cNvPr id="0" name=""/>
        <dsp:cNvSpPr/>
      </dsp:nvSpPr>
      <dsp:spPr>
        <a:xfrm>
          <a:off x="3215307" y="874445"/>
          <a:ext cx="1237094" cy="102034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47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Service Management (Time/Cost)</a:t>
          </a:r>
        </a:p>
        <a:p>
          <a:pPr marL="57150" lvl="1" indent="-57150" algn="l" defTabSz="311150">
            <a:lnSpc>
              <a:spcPct val="90000"/>
            </a:lnSpc>
            <a:spcBef>
              <a:spcPct val="0"/>
            </a:spcBef>
            <a:spcAft>
              <a:spcPct val="15000"/>
            </a:spcAft>
            <a:buChar char="•"/>
          </a:pPr>
          <a:r>
            <a:rPr lang="en-US" sz="700" kern="1200"/>
            <a:t>Data Migration</a:t>
          </a:r>
        </a:p>
        <a:p>
          <a:pPr marL="57150" lvl="1" indent="-57150" algn="l" defTabSz="311150">
            <a:lnSpc>
              <a:spcPct val="90000"/>
            </a:lnSpc>
            <a:spcBef>
              <a:spcPct val="0"/>
            </a:spcBef>
            <a:spcAft>
              <a:spcPct val="15000"/>
            </a:spcAft>
            <a:buChar char="•"/>
          </a:pPr>
          <a:r>
            <a:rPr lang="en-US" sz="700" kern="1200"/>
            <a:t>Testing (IT/Business Unit)</a:t>
          </a:r>
        </a:p>
      </dsp:txBody>
      <dsp:txXfrm>
        <a:off x="3238788" y="897926"/>
        <a:ext cx="1190132" cy="754736"/>
      </dsp:txXfrm>
    </dsp:sp>
    <dsp:sp modelId="{8D133F92-9B15-4DC4-B394-1732D2528E8D}">
      <dsp:nvSpPr>
        <dsp:cNvPr id="0" name=""/>
        <dsp:cNvSpPr/>
      </dsp:nvSpPr>
      <dsp:spPr>
        <a:xfrm>
          <a:off x="3902025" y="1086942"/>
          <a:ext cx="1409368" cy="1409368"/>
        </a:xfrm>
        <a:prstGeom prst="leftCircularArrow">
          <a:avLst>
            <a:gd name="adj1" fmla="val 3472"/>
            <a:gd name="adj2" fmla="val 430507"/>
            <a:gd name="adj3" fmla="val 2206018"/>
            <a:gd name="adj4" fmla="val 9024489"/>
            <a:gd name="adj5" fmla="val 4051"/>
          </a:avLst>
        </a:prstGeom>
        <a:solidFill>
          <a:schemeClr val="accent5">
            <a:hueOff val="0"/>
            <a:satOff val="0"/>
            <a:lumOff val="-70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DBA746-BCD0-47ED-9F02-ABD3543E79FD}">
      <dsp:nvSpPr>
        <dsp:cNvPr id="0" name=""/>
        <dsp:cNvSpPr/>
      </dsp:nvSpPr>
      <dsp:spPr>
        <a:xfrm>
          <a:off x="3490217" y="1676144"/>
          <a:ext cx="1099639" cy="437290"/>
        </a:xfrm>
        <a:prstGeom prst="roundRect">
          <a:avLst>
            <a:gd name="adj" fmla="val 10000"/>
          </a:avLst>
        </a:prstGeom>
        <a:solidFill>
          <a:schemeClr val="accent5">
            <a:hueOff val="0"/>
            <a:satOff val="0"/>
            <a:lumOff val="-47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Migration</a:t>
          </a:r>
        </a:p>
      </dsp:txBody>
      <dsp:txXfrm>
        <a:off x="3503025" y="1688952"/>
        <a:ext cx="1074023" cy="411674"/>
      </dsp:txXfrm>
    </dsp:sp>
    <dsp:sp modelId="{EB672C92-4659-435D-9D27-E762BB0854CD}">
      <dsp:nvSpPr>
        <dsp:cNvPr id="0" name=""/>
        <dsp:cNvSpPr/>
      </dsp:nvSpPr>
      <dsp:spPr>
        <a:xfrm>
          <a:off x="4822872" y="874445"/>
          <a:ext cx="1237094" cy="102034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70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Final Data Synchronization</a:t>
          </a:r>
        </a:p>
        <a:p>
          <a:pPr marL="57150" lvl="1" indent="-57150" algn="l" defTabSz="311150">
            <a:lnSpc>
              <a:spcPct val="90000"/>
            </a:lnSpc>
            <a:spcBef>
              <a:spcPct val="0"/>
            </a:spcBef>
            <a:spcAft>
              <a:spcPct val="15000"/>
            </a:spcAft>
            <a:buChar char="•"/>
          </a:pPr>
          <a:r>
            <a:rPr lang="en-US" sz="700" kern="1200"/>
            <a:t>Business Unit Final Testing</a:t>
          </a:r>
        </a:p>
        <a:p>
          <a:pPr marL="57150" lvl="1" indent="-57150" algn="l" defTabSz="311150">
            <a:lnSpc>
              <a:spcPct val="90000"/>
            </a:lnSpc>
            <a:spcBef>
              <a:spcPct val="0"/>
            </a:spcBef>
            <a:spcAft>
              <a:spcPct val="15000"/>
            </a:spcAft>
            <a:buChar char="•"/>
          </a:pPr>
          <a:r>
            <a:rPr lang="en-US" sz="700" kern="1200"/>
            <a:t>Production Phase-in</a:t>
          </a:r>
        </a:p>
        <a:p>
          <a:pPr marL="57150" lvl="1" indent="-57150" algn="l" defTabSz="311150">
            <a:lnSpc>
              <a:spcPct val="90000"/>
            </a:lnSpc>
            <a:spcBef>
              <a:spcPct val="0"/>
            </a:spcBef>
            <a:spcAft>
              <a:spcPct val="15000"/>
            </a:spcAft>
            <a:buChar char="•"/>
          </a:pPr>
          <a:r>
            <a:rPr lang="en-US" sz="700" kern="1200"/>
            <a:t>Business Process Cutover</a:t>
          </a:r>
        </a:p>
        <a:p>
          <a:pPr marL="57150" lvl="1" indent="-57150" algn="l" defTabSz="311150">
            <a:lnSpc>
              <a:spcPct val="90000"/>
            </a:lnSpc>
            <a:spcBef>
              <a:spcPct val="0"/>
            </a:spcBef>
            <a:spcAft>
              <a:spcPct val="15000"/>
            </a:spcAft>
            <a:buChar char="•"/>
          </a:pPr>
          <a:endParaRPr lang="en-US" sz="700" kern="1200"/>
        </a:p>
      </dsp:txBody>
      <dsp:txXfrm>
        <a:off x="4846353" y="1116571"/>
        <a:ext cx="1190132" cy="754736"/>
      </dsp:txXfrm>
    </dsp:sp>
    <dsp:sp modelId="{AD11504C-94EA-414A-8E29-3BC0D9775199}">
      <dsp:nvSpPr>
        <dsp:cNvPr id="0" name=""/>
        <dsp:cNvSpPr/>
      </dsp:nvSpPr>
      <dsp:spPr>
        <a:xfrm>
          <a:off x="5097781" y="655800"/>
          <a:ext cx="1099639" cy="437290"/>
        </a:xfrm>
        <a:prstGeom prst="roundRect">
          <a:avLst>
            <a:gd name="adj" fmla="val 10000"/>
          </a:avLst>
        </a:prstGeom>
        <a:solidFill>
          <a:schemeClr val="accent5">
            <a:hueOff val="0"/>
            <a:satOff val="0"/>
            <a:lumOff val="-70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Cutover</a:t>
          </a:r>
        </a:p>
      </dsp:txBody>
      <dsp:txXfrm>
        <a:off x="5110589" y="668608"/>
        <a:ext cx="1074023" cy="4116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F33EC7A3843B7B413577F6987F8E6"/>
        <w:category>
          <w:name w:val="General"/>
          <w:gallery w:val="placeholder"/>
        </w:category>
        <w:types>
          <w:type w:val="bbPlcHdr"/>
        </w:types>
        <w:behaviors>
          <w:behavior w:val="content"/>
        </w:behaviors>
        <w:guid w:val="{CF016FDD-714E-4DE2-B213-0D820C68AB5E}"/>
      </w:docPartPr>
      <w:docPartBody>
        <w:p w:rsidR="00671761" w:rsidRDefault="00671761">
          <w:pPr>
            <w:pStyle w:val="0F1F33EC7A3843B7B413577F6987F8E6"/>
          </w:pPr>
          <w:r>
            <w:t>[Title Here, up to 12 Words, on One to Two Lines]</w:t>
          </w:r>
        </w:p>
      </w:docPartBody>
    </w:docPart>
    <w:docPart>
      <w:docPartPr>
        <w:name w:val="74F67D7E77DF4247B7FB8C859C5A676E"/>
        <w:category>
          <w:name w:val="General"/>
          <w:gallery w:val="placeholder"/>
        </w:category>
        <w:types>
          <w:type w:val="bbPlcHdr"/>
        </w:types>
        <w:behaviors>
          <w:behavior w:val="content"/>
        </w:behaviors>
        <w:guid w:val="{252FBD38-4F0F-45E2-B7DF-04CE405A8E88}"/>
      </w:docPartPr>
      <w:docPartBody>
        <w:p w:rsidR="00671761" w:rsidRDefault="00671761">
          <w:pPr>
            <w:pStyle w:val="74F67D7E77DF4247B7FB8C859C5A676E"/>
          </w:pPr>
          <w:r>
            <w:t>[Title Here, up to 12 Words, on One to Two Lines]</w:t>
          </w:r>
        </w:p>
      </w:docPartBody>
    </w:docPart>
    <w:docPart>
      <w:docPartPr>
        <w:name w:val="564E2A9B498544F39BEFA0AFC60F6366"/>
        <w:category>
          <w:name w:val="General"/>
          <w:gallery w:val="placeholder"/>
        </w:category>
        <w:types>
          <w:type w:val="bbPlcHdr"/>
        </w:types>
        <w:behaviors>
          <w:behavior w:val="content"/>
        </w:behaviors>
        <w:guid w:val="{149C04A8-5CE1-4505-9EB9-303134587792}"/>
      </w:docPartPr>
      <w:docPartBody>
        <w:p w:rsidR="00671761" w:rsidRDefault="00671761">
          <w:pPr>
            <w:pStyle w:val="564E2A9B498544F39BEFA0AFC60F6366"/>
          </w:pPr>
          <w:r w:rsidRPr="005D3A03">
            <w:t>Figures title:</w:t>
          </w:r>
        </w:p>
      </w:docPartBody>
    </w:docPart>
    <w:docPart>
      <w:docPartPr>
        <w:name w:val="E7DD44E46D934A8CBCC34F54F7BD70C8"/>
        <w:category>
          <w:name w:val="General"/>
          <w:gallery w:val="placeholder"/>
        </w:category>
        <w:types>
          <w:type w:val="bbPlcHdr"/>
        </w:types>
        <w:behaviors>
          <w:behavior w:val="content"/>
        </w:behaviors>
        <w:guid w:val="{4CEEA6A3-147B-462C-9AA6-0AF46CF74745}"/>
      </w:docPartPr>
      <w:docPartBody>
        <w:p w:rsidR="00671761" w:rsidRDefault="00671761">
          <w:pPr>
            <w:pStyle w:val="E7DD44E46D934A8CBCC34F54F7BD70C8"/>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61"/>
    <w:rsid w:val="00671761"/>
    <w:rsid w:val="009267D2"/>
    <w:rsid w:val="00A37CC2"/>
    <w:rsid w:val="00B95CA6"/>
    <w:rsid w:val="00D6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F33EC7A3843B7B413577F6987F8E6">
    <w:name w:val="0F1F33EC7A3843B7B413577F6987F8E6"/>
  </w:style>
  <w:style w:type="character" w:styleId="Emphasis">
    <w:name w:val="Emphasis"/>
    <w:basedOn w:val="DefaultParagraphFont"/>
    <w:uiPriority w:val="4"/>
    <w:unhideWhenUsed/>
    <w:qFormat/>
    <w:rPr>
      <w:i/>
      <w:iCs/>
    </w:rPr>
  </w:style>
  <w:style w:type="paragraph" w:customStyle="1" w:styleId="74F67D7E77DF4247B7FB8C859C5A676E">
    <w:name w:val="74F67D7E77DF4247B7FB8C859C5A676E"/>
  </w:style>
  <w:style w:type="paragraph" w:customStyle="1" w:styleId="564E2A9B498544F39BEFA0AFC60F6366">
    <w:name w:val="564E2A9B498544F39BEFA0AFC60F6366"/>
  </w:style>
  <w:style w:type="paragraph" w:customStyle="1" w:styleId="E7DD44E46D934A8CBCC34F54F7BD70C8">
    <w:name w:val="E7DD44E46D934A8CBCC34F54F7BD7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Cloud migration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ORo22</b:Tag>
    <b:SourceType>InternetSite</b:SourceType>
    <b:Guid>{82BB63A5-806A-4E28-8705-A4834F6C8044}</b:Guid>
    <b:Author>
      <b:Author>
        <b:Corporate>ORock Technologies</b:Corporate>
      </b:Author>
    </b:Author>
    <b:Title>For the Healthcare Industry, It’s (Past) Time To Modernize Your Storage Solution</b:Title>
    <b:InternetSiteTitle>ORock Technologies</b:InternetSiteTitle>
    <b:Year>2022</b:Year>
    <b:URL>https://go.orocktech.com/Healthcare_Time_to_Modernize</b:URL>
    <b:RefOrder>5</b:RefOrder>
  </b:Source>
  <b:Source>
    <b:Tag>Sam21</b:Tag>
    <b:SourceType>InternetSite</b:SourceType>
    <b:Guid>{C9937516-0ADD-4422-8C2D-5A8A48A31C53}</b:Guid>
    <b:Title>Accelerated Computing with a Reconfigurable Dataflow Architecture</b:Title>
    <b:Year>2021</b:Year>
    <b:Author>
      <b:Author>
        <b:Corporate>SambaNova Systems</b:Corporate>
      </b:Author>
    </b:Author>
    <b:InternetSiteTitle>SambaNova Systems</b:InternetSiteTitle>
    <b:URL>https://sambanova.ai/wp-content/uploads/2021/04/SambaNova_Accelerated-Computing-with-a-Reconfigurable-Dataflow-Architecture_Whitepaper_English.pdf</b:URL>
    <b:RefOrder>6</b:RefOrder>
  </b:Source>
  <b:Source>
    <b:Tag>ORo21</b:Tag>
    <b:SourceType>InternetSite</b:SourceType>
    <b:Guid>{AA71A75C-28B4-49DB-9292-73F8A4914D36}</b:Guid>
    <b:Author>
      <b:Author>
        <b:Corporate>ORock Technologies</b:Corporate>
      </b:Author>
    </b:Author>
    <b:Title>A Practical Guide to Mission-Critical Cloud Computing</b:Title>
    <b:InternetSiteTitle>Orock Technologies</b:InternetSiteTitle>
    <b:Year>2021</b:Year>
    <b:Month>January</b:Month>
    <b:URL>https://go.orocktech.com/Mission-Critical_Cloud_Computing</b:URL>
    <b:RefOrder>7</b:RefOrder>
  </b:Source>
  <b:Source>
    <b:Tag>Mic20</b:Tag>
    <b:SourceType>InternetSite</b:SourceType>
    <b:Guid>{58A75672-992D-41D0-B6A8-2E14EE9DB111}</b:Guid>
    <b:Author>
      <b:Author>
        <b:NameList>
          <b:Person>
            <b:Last>Baarz</b:Last>
            <b:First>Michael</b:First>
          </b:Person>
        </b:NameList>
      </b:Author>
    </b:Author>
    <b:Title>Confusion in the Cloud: Greenfield or Brownfield?</b:Title>
    <b:InternetSiteTitle>Capgemini</b:InternetSiteTitle>
    <b:Year>2020</b:Year>
    <b:Month>May</b:Month>
    <b:Day>6</b:Day>
    <b:URL>https://www.capgemini.com/se-en/2020/05/confusion-in-the-cloud-greenfield-or-brownfield/</b:URL>
    <b:RefOrder>8</b:RefOrder>
  </b:Source>
  <b:Source>
    <b:Tag>Mah16</b:Tag>
    <b:SourceType>JournalArticle</b:SourceType>
    <b:Guid>{389694A3-E862-463B-9D87-1B6FC143936F}</b:Guid>
    <b:Title>Cloud Migration Process A Survey Evaluation Framework and Open Challenges</b:Title>
    <b:Pages>31-69</b:Pages>
    <b:Year>2016</b:Year>
    <b:Volume>120</b:Volume>
    <b:DOI>10.48550/arXiv.2004.10725</b:DOI>
    <b:Author>
      <b:Author>
        <b:NameList>
          <b:Person>
            <b:Last>Fahmideh</b:Last>
            <b:First>Mahdi</b:First>
          </b:Person>
          <b:Person>
            <b:Last>Low</b:Last>
            <b:First>Graham</b:First>
          </b:Person>
          <b:Person>
            <b:Last>Beydoun</b:Last>
            <b:First>Ghassan</b:First>
          </b:Person>
          <b:Person>
            <b:Last>Daneshgar</b:Last>
            <b:First>Farhad</b:First>
          </b:Person>
        </b:NameList>
      </b:Author>
    </b:Author>
    <b:JournalName>Journal of Systems and Software</b:JournalName>
    <b:RefOrder>9</b:RefOrder>
  </b:Source>
  <b:Source>
    <b:Tag>Ari19</b:Tag>
    <b:SourceType>ConferenceProceedings</b:SourceType>
    <b:Guid>{8B199CE1-AFA6-47B9-8FB2-E1836522BB46}</b:Guid>
    <b:Title>Key Opportunities and Challenges of Data Migration in Cloud: Results from a Multivocal Literature Review</b:Title>
    <b:Year>2019</b:Year>
    <b:Pages>48-55</b:Pages>
    <b:ConferenceName>Procedia Computer Science</b:ConferenceName>
    <b:City>Halden</b:City>
    <b:Publisher>Elsevier B.V</b:Publisher>
    <b:Author>
      <b:Author>
        <b:NameList>
          <b:Person>
            <b:Last>Iqbal</b:Last>
            <b:First>Arif</b:First>
          </b:Person>
          <b:Person>
            <b:Last>Colomo-Palacios</b:Last>
            <b:First>Ricardo</b:First>
          </b:Person>
        </b:NameList>
      </b:Author>
    </b:Author>
    <b:Volume>164</b:Volume>
    <b:DOI>10.1016/j.procs.2019.12.153</b:DOI>
    <b:RefOrder>10</b:RefOrder>
  </b:Source>
  <b:Source>
    <b:Tag>Yif21</b:Tag>
    <b:SourceType>InternetSite</b:SourceType>
    <b:Guid>{5A3B5B65-615D-4604-BA54-2EF9F3A6E7C2}</b:Guid>
    <b:Author>
      <b:Author>
        <b:NameList>
          <b:Person>
            <b:Last>Perry</b:Last>
            <b:First>Yifat</b:First>
          </b:Person>
        </b:NameList>
      </b:Author>
    </b:Author>
    <b:Title>What is Cloud Migration? Strategy, Process and Tools</b:Title>
    <b:InternetSiteTitle>NetApp</b:InternetSiteTitle>
    <b:Year>2021</b:Year>
    <b:Month>May</b:Month>
    <b:Day>30</b:Day>
    <b:URL>https://cloud.netapp.com/blog/cloud-migration-strategy-challenges-and-steps</b:URL>
    <b:RefOrder>11</b:RefOrder>
  </b:Source>
  <b:Source>
    <b:Tag>Meg22</b:Tag>
    <b:SourceType>InternetSite</b:SourceType>
    <b:Guid>{8BC9648C-701D-459F-9CDE-76B631C2817A}</b:Guid>
    <b:Title>Gartner Forecasts Worldwide Public Cloud End-User Spending to Reach Nearly $500 Billion in 2022 </b:Title>
    <b:Year>2022</b:Year>
    <b:Author>
      <b:Author>
        <b:NameList>
          <b:Person>
            <b:Last>Rimol</b:Last>
            <b:First>Meghan</b:First>
          </b:Person>
        </b:NameList>
      </b:Author>
    </b:Author>
    <b:InternetSiteTitle>Gartner</b:InternetSiteTitle>
    <b:Month>April</b:Month>
    <b:Day>19</b:Day>
    <b:URL>https://www.gartner.com/en/newsroom/press-releases/2022-04-19-gartner-forecasts-worldwide-public-cloud-end-user-spending-to-reach-nearly-500-billion-in-2022</b:URL>
    <b:RefOrder>1</b:RefOrder>
  </b:Source>
  <b:Source>
    <b:Tag>Thr22</b:Tag>
    <b:SourceType>InternetSite</b:SourceType>
    <b:Guid>{B858591A-8AF0-444A-BDDB-1D2B6535DE97}</b:Guid>
    <b:Author>
      <b:Author>
        <b:Corporate>Threat Stack</b:Corporate>
      </b:Author>
    </b:Author>
    <b:Title>7 Factors to Help You Choose the Right Cloud Service Provider</b:Title>
    <b:InternetSiteTitle>Threat Stack</b:InternetSiteTitle>
    <b:Year>2022</b:Year>
    <b:URL>https://www.threatstack.com/blog/7-factors-to-help-you-choose-the-right-cloud-service-provider</b:URL>
    <b:RefOrder>2</b:RefOrder>
  </b:Source>
  <b:Source>
    <b:Tag>Wil19</b:Tag>
    <b:SourceType>Report</b:SourceType>
    <b:Guid>{461B7EB0-DB2D-4C97-A34D-DA6A0291EDA6}</b:Guid>
    <b:Author>
      <b:Author>
        <b:NameList>
          <b:Person>
            <b:Last>Wilson</b:Last>
            <b:First>Jeff</b:First>
          </b:Person>
        </b:NameList>
      </b:Author>
    </b:Author>
    <b:Title>The Bi-Directional Cloud Highway:User Attitudes about Securing Hybrid- and Multi-Cloud Environments</b:Title>
    <b:Year>2019</b:Year>
    <b:URL>https://www.fortinet.com/content/dam/fortinet/assets/analyst-reports/ar-2019-ihsm-fortinet-wp-q2.pdf</b:URL>
    <b:Publisher>IHS Markit</b:Publisher>
    <b:City>London</b:City>
    <b:RefOrder>12</b:RefOrder>
  </b:Source>
  <b:Source>
    <b:Tag>Mah17</b:Tag>
    <b:SourceType>JournalArticle</b:SourceType>
    <b:Guid>{ADFAD63C-17B6-4BCB-9F19-5680F458371A}</b:Guid>
    <b:Title>Challenges in migrating legacy software systems to the cloud — an empirical study</b:Title>
    <b:Year>2017</b:Year>
    <b:JournalName>Information Systems</b:JournalName>
    <b:Pages>100-113</b:Pages>
    <b:Author>
      <b:Author>
        <b:NameList>
          <b:Person>
            <b:Last>Gholami</b:Last>
            <b:First>Mahdi</b:First>
            <b:Middle>Fahmideh</b:Middle>
          </b:Person>
          <b:Person>
            <b:Last>Daneshgar</b:Last>
            <b:First>Farhad</b:First>
          </b:Person>
          <b:Person>
            <b:Last>Beydoun</b:Last>
            <b:First>Ghassan</b:First>
          </b:Person>
          <b:Person>
            <b:Last>Rabhi</b:Last>
            <b:First>Fethi</b:First>
          </b:Person>
        </b:NameList>
      </b:Author>
    </b:Author>
    <b:DOI>10.1016/j.is.2017.03.008</b:DOI>
    <b:RefOrder>13</b:RefOrder>
  </b:Source>
  <b:Source>
    <b:Tag>Vas13</b:Tag>
    <b:SourceType>JournalArticle</b:SourceType>
    <b:Guid>{0FC25A2F-6C92-48CE-B96E-99B6BF150369}</b:Guid>
    <b:Title>How to adapt applications for the Cloud environment: Challenges and solutions in migrating applications to the Cloud</b:Title>
    <b:JournalName>Computing</b:JournalName>
    <b:Year>2013</b:Year>
    <b:Pages>493-535</b:Pages>
    <b:Author>
      <b:Author>
        <b:NameList>
          <b:Person>
            <b:Last>Andrikopoulos</b:Last>
            <b:First>Vasilios</b:First>
          </b:Person>
          <b:Person>
            <b:Last>Binz</b:Last>
            <b:First>Tobias</b:First>
          </b:Person>
          <b:Person>
            <b:Last>Leymann</b:Last>
            <b:First>Frank</b:First>
          </b:Person>
          <b:Person>
            <b:Last>Strauch</b:Last>
            <b:First>Steve</b:First>
          </b:Person>
        </b:NameList>
      </b:Author>
    </b:Author>
    <b:Volume>95</b:Volume>
    <b:DOI>10.1007/s00607-012-0248-2</b:DOI>
    <b:RefOrder>14</b:RefOrder>
  </b:Source>
  <b:Source>
    <b:Tag>Dev21</b:Tag>
    <b:SourceType>InternetSite</b:SourceType>
    <b:Guid>{D59CB521-1D93-4351-BA9C-3DA2E33FAB5A}</b:Guid>
    <b:Title>3 reasons cloud migrations fail (and how to make sure yours doesn’t)</b:Title>
    <b:Year>2021</b:Year>
    <b:Author>
      <b:Author>
        <b:Corporate>DevOpsGroup</b:Corporate>
      </b:Author>
    </b:Author>
    <b:InternetSiteTitle>DevOpsGroup</b:InternetSiteTitle>
    <b:Month>September</b:Month>
    <b:Day>10</b:Day>
    <b:URL>https://www.devopsgroup.com/blog/3-reasons-cloud-migrations-fail-and-how-to-make-sure-yours-doesnt/</b:URL>
    <b:RefOrder>15</b:RefOrder>
  </b:Source>
  <b:Source>
    <b:Tag>Kei21</b:Tag>
    <b:SourceType>InternetSite</b:SourceType>
    <b:Guid>{C4E7395A-6C92-4DD6-9D30-A5DDEF16FE64}</b:Guid>
    <b:Author>
      <b:Author>
        <b:NameList>
          <b:Person>
            <b:Last>Foote</b:Last>
            <b:First>Keith</b:First>
            <b:Middle>D.</b:Middle>
          </b:Person>
        </b:NameList>
      </b:Author>
    </b:Author>
    <b:Title>A Brief History of Cloud Computing</b:Title>
    <b:InternetSiteTitle>Dataversity</b:InternetSiteTitle>
    <b:Year>2021</b:Year>
    <b:Month>December</b:Month>
    <b:Day>17</b:Day>
    <b:URL>https://www.dataversity.net/brief-history-cloud-computing/</b:URL>
    <b:RefOrder>16</b:RefOrder>
  </b:Source>
  <b:Source>
    <b:Tag>GSA22</b:Tag>
    <b:SourceType>InternetSite</b:SourceType>
    <b:Guid>{15F7ADCB-4340-4F0F-960B-9138EC9D1FD8}</b:Guid>
    <b:Author>
      <b:Author>
        <b:Corporate>GSA</b:Corporate>
      </b:Author>
    </b:Author>
    <b:Title>239.7602-2 Required storage of data within the United States or outlying areas.</b:Title>
    <b:InternetSiteTitle>Acquisition.gov</b:InternetSiteTitle>
    <b:Year>2022</b:Year>
    <b:Month>June</b:Month>
    <b:Day>23</b:Day>
    <b:URL>https://www.acquisition.gov/dfars/239.7602-2-required-storage-data-within-united-states-or-outlying-areas.</b:URL>
    <b:RefOrder>4</b:RefOrder>
  </b:Source>
  <b:Source>
    <b:Tag>Eur19</b:Tag>
    <b:SourceType>InternetSite</b:SourceType>
    <b:Guid>{51F4150D-AAA5-46D1-857A-9AF5E1D2D133}</b:Guid>
    <b:Author>
      <b:Author>
        <b:Corporate>European Data Protection Board</b:Corporate>
      </b:Author>
    </b:Author>
    <b:Title>Guidelines 3/2018 on the territorial scope of the GDPR</b:Title>
    <b:InternetSiteTitle>European Data Protection Board</b:InternetSiteTitle>
    <b:Year>2019</b:Year>
    <b:Month>November</b:Month>
    <b:Day>12</b:Day>
    <b:URL>https://edpb.europa.eu/sites/default/files/files/file1/edpb_guidelines_3_2018_territorial_scope_after_public_consultation_en_1.pdf</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66FAEB-7B1B-4B7D-8367-8B42F6D8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2004</TotalTime>
  <Pages>1</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Cloud Migration: Fundamentals and Challenges</vt:lpstr>
    </vt:vector>
  </TitlesOfParts>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Migration: Fundamentals and Challenges</dc:title>
  <dc:subject/>
  <dc:creator>Arthur Neumann</dc:creator>
  <cp:keywords/>
  <dc:description/>
  <cp:lastModifiedBy>Arthur Neumann</cp:lastModifiedBy>
  <cp:revision>768</cp:revision>
  <dcterms:created xsi:type="dcterms:W3CDTF">2022-07-30T19:39:00Z</dcterms:created>
  <dcterms:modified xsi:type="dcterms:W3CDTF">2022-08-06T16:14:00Z</dcterms:modified>
</cp:coreProperties>
</file>